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AC40" w14:textId="77777777" w:rsidR="00A7033C" w:rsidRDefault="00000000">
      <w:pPr>
        <w:pStyle w:val="Ttulo1"/>
        <w:spacing w:before="480" w:after="0" w:line="276" w:lineRule="auto"/>
        <w:jc w:val="both"/>
        <w:rPr>
          <w:rFonts w:ascii="Cambria" w:eastAsia="Cambria" w:hAnsi="Cambria" w:cs="Cambria"/>
          <w:b/>
          <w:color w:val="000000"/>
          <w:sz w:val="24"/>
          <w:szCs w:val="24"/>
        </w:rPr>
      </w:pPr>
      <w:r>
        <w:rPr>
          <w:rFonts w:ascii="Cambria" w:eastAsia="Cambria" w:hAnsi="Cambria" w:cs="Cambria"/>
          <w:b/>
          <w:color w:val="000000"/>
          <w:sz w:val="24"/>
          <w:szCs w:val="24"/>
        </w:rPr>
        <w:t>Estrategia de Boletería – FIAV Bogotá 2026</w:t>
      </w:r>
    </w:p>
    <w:p w14:paraId="0507F170" w14:textId="77777777" w:rsidR="00A7033C" w:rsidRDefault="00000000">
      <w:pPr>
        <w:pStyle w:val="Ttulo2"/>
        <w:spacing w:before="200" w:after="0" w:line="276" w:lineRule="auto"/>
        <w:jc w:val="both"/>
        <w:rPr>
          <w:rFonts w:ascii="Cambria" w:eastAsia="Cambria" w:hAnsi="Cambria" w:cs="Cambria"/>
          <w:b/>
          <w:color w:val="000000"/>
          <w:sz w:val="24"/>
          <w:szCs w:val="24"/>
        </w:rPr>
      </w:pPr>
      <w:r>
        <w:rPr>
          <w:rFonts w:ascii="Cambria" w:eastAsia="Cambria" w:hAnsi="Cambria" w:cs="Cambria"/>
          <w:b/>
          <w:color w:val="000000"/>
          <w:sz w:val="24"/>
          <w:szCs w:val="24"/>
        </w:rPr>
        <w:t>1. Antecedentes</w:t>
      </w:r>
    </w:p>
    <w:p w14:paraId="1CC61587"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En su primera versión, realizada en 2024, el Festival Internacional de Artes Vivas (FIAV) programó 83 espectáculos en 23 salas de Bogotá, alcanzando un total de 183 funciones: 134 de grupos nacionales y distritales, y 49 de compañías internacionales. El resultado de esta edición inicial dejó como balance una alta satisfacción del público y una clara disposición a asistir a futuras ediciones, validando la percepción del festival como una experiencia cultural de alto valor agregado.</w:t>
      </w:r>
    </w:p>
    <w:p w14:paraId="7634AC97" w14:textId="77777777" w:rsidR="00A7033C" w:rsidRDefault="00000000">
      <w:pPr>
        <w:pStyle w:val="Ttulo2"/>
        <w:spacing w:before="200" w:after="0" w:line="276" w:lineRule="auto"/>
        <w:jc w:val="both"/>
        <w:rPr>
          <w:rFonts w:ascii="Cambria" w:eastAsia="Cambria" w:hAnsi="Cambria" w:cs="Cambria"/>
          <w:b/>
          <w:color w:val="000000"/>
          <w:sz w:val="24"/>
          <w:szCs w:val="24"/>
        </w:rPr>
      </w:pPr>
      <w:r>
        <w:rPr>
          <w:rFonts w:ascii="Cambria" w:eastAsia="Cambria" w:hAnsi="Cambria" w:cs="Cambria"/>
          <w:b/>
          <w:color w:val="000000"/>
          <w:sz w:val="24"/>
          <w:szCs w:val="24"/>
        </w:rPr>
        <w:t>2. Segunda Versión (2026)</w:t>
      </w:r>
    </w:p>
    <w:p w14:paraId="5DCE00CF"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 xml:space="preserve">La segunda edición se llevará a cabo del 27 de marzo al 5 de abril de 2026. Se vincularán 70 compañías nacionales y </w:t>
      </w:r>
      <w:proofErr w:type="gramStart"/>
      <w:r>
        <w:rPr>
          <w:rFonts w:ascii="Cambria" w:eastAsia="Cambria" w:hAnsi="Cambria" w:cs="Cambria"/>
          <w:sz w:val="24"/>
          <w:szCs w:val="24"/>
        </w:rPr>
        <w:t>distritales  y</w:t>
      </w:r>
      <w:proofErr w:type="gramEnd"/>
      <w:r>
        <w:rPr>
          <w:rFonts w:ascii="Cambria" w:eastAsia="Cambria" w:hAnsi="Cambria" w:cs="Cambria"/>
          <w:sz w:val="24"/>
          <w:szCs w:val="24"/>
        </w:rPr>
        <w:t xml:space="preserve"> se contará con la participación de compañías internacionales de primer nivel. </w:t>
      </w:r>
    </w:p>
    <w:p w14:paraId="4301EB07" w14:textId="77777777" w:rsidR="00A7033C" w:rsidRDefault="00000000">
      <w:pPr>
        <w:pStyle w:val="Ttulo2"/>
        <w:spacing w:before="200" w:after="0" w:line="276" w:lineRule="auto"/>
        <w:jc w:val="both"/>
        <w:rPr>
          <w:rFonts w:ascii="Cambria" w:eastAsia="Cambria" w:hAnsi="Cambria" w:cs="Cambria"/>
          <w:b/>
          <w:color w:val="000000"/>
          <w:sz w:val="24"/>
          <w:szCs w:val="24"/>
        </w:rPr>
      </w:pPr>
      <w:r>
        <w:rPr>
          <w:rFonts w:ascii="Cambria" w:eastAsia="Cambria" w:hAnsi="Cambria" w:cs="Cambria"/>
          <w:b/>
          <w:color w:val="000000"/>
          <w:sz w:val="24"/>
          <w:szCs w:val="24"/>
        </w:rPr>
        <w:t>3. Fundamentos del Modelo Financiero de Taquilla</w:t>
      </w:r>
    </w:p>
    <w:p w14:paraId="3BA23F9D"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El modelo de boletería ha sido diseñado considerando los resultados obtenidos en 2024, los estudios de consumo cultural (DANE 2020), y el Boletín Técnico FIAV 2024 realizado por el Subsecretaría de Cultura Ciudadana y Gestión del Conocimiento, Dirección Observatorio y Gestión del Conocimiento Cultural</w:t>
      </w:r>
    </w:p>
    <w:p w14:paraId="5A6F3C3B"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Estos análisis confirman que el público bogotano está dispuesto a pagar por experiencias culturales únicas, de alta calidad y con valor simbólico diferenciado.</w:t>
      </w:r>
    </w:p>
    <w:p w14:paraId="7866873C"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El festival es bienal y concentra en un corto periodo de tiempo una programación curada con rigor, irrepetible en la oferta ordinaria de la ciudad. Esta condición lo posiciona como una experiencia extraordinaria, lo que justifica una política de precios diferenciada respecto a la oferta teatral regular, sin perder su vocación de acceso democrático.</w:t>
      </w:r>
    </w:p>
    <w:p w14:paraId="105F06E8" w14:textId="77777777" w:rsidR="00A7033C" w:rsidRDefault="00000000">
      <w:pPr>
        <w:pStyle w:val="Ttulo2"/>
        <w:spacing w:before="200" w:after="0" w:line="276" w:lineRule="auto"/>
        <w:jc w:val="both"/>
        <w:rPr>
          <w:rFonts w:ascii="Cambria" w:eastAsia="Cambria" w:hAnsi="Cambria" w:cs="Cambria"/>
          <w:b/>
          <w:color w:val="000000"/>
          <w:sz w:val="24"/>
          <w:szCs w:val="24"/>
        </w:rPr>
      </w:pPr>
      <w:r>
        <w:rPr>
          <w:rFonts w:ascii="Cambria" w:eastAsia="Cambria" w:hAnsi="Cambria" w:cs="Cambria"/>
          <w:b/>
          <w:color w:val="000000"/>
          <w:sz w:val="24"/>
          <w:szCs w:val="24"/>
        </w:rPr>
        <w:t>4. Estrategia de Precios y Públicos</w:t>
      </w:r>
    </w:p>
    <w:p w14:paraId="28989A5F"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La boletería se concibe como un eje esencial de la sostenibilidad mixta del festival (aportes públicos + patrocinios privados + venta de entradas).</w:t>
      </w:r>
    </w:p>
    <w:p w14:paraId="0166E8CF" w14:textId="77777777" w:rsidR="00A7033C" w:rsidRDefault="00000000">
      <w:pPr>
        <w:pStyle w:val="Ttulo3"/>
        <w:spacing w:before="200" w:after="0" w:line="276" w:lineRule="auto"/>
        <w:jc w:val="both"/>
        <w:rPr>
          <w:rFonts w:ascii="Cambria" w:eastAsia="Cambria" w:hAnsi="Cambria" w:cs="Cambria"/>
          <w:b/>
          <w:color w:val="000000"/>
          <w:sz w:val="24"/>
          <w:szCs w:val="24"/>
        </w:rPr>
      </w:pPr>
      <w:r>
        <w:rPr>
          <w:rFonts w:ascii="Cambria" w:eastAsia="Cambria" w:hAnsi="Cambria" w:cs="Cambria"/>
          <w:b/>
          <w:color w:val="000000"/>
          <w:sz w:val="24"/>
          <w:szCs w:val="24"/>
        </w:rPr>
        <w:t>Rangos sugeridos:</w:t>
      </w:r>
    </w:p>
    <w:tbl>
      <w:tblPr>
        <w:tblStyle w:val="a"/>
        <w:tblW w:w="8640" w:type="dxa"/>
        <w:tblInd w:w="-115" w:type="dxa"/>
        <w:tblLayout w:type="fixed"/>
        <w:tblLook w:val="0400" w:firstRow="0" w:lastRow="0" w:firstColumn="0" w:lastColumn="0" w:noHBand="0" w:noVBand="1"/>
      </w:tblPr>
      <w:tblGrid>
        <w:gridCol w:w="2880"/>
        <w:gridCol w:w="2880"/>
        <w:gridCol w:w="2880"/>
      </w:tblGrid>
      <w:tr w:rsidR="00A7033C" w14:paraId="7D43F409" w14:textId="77777777">
        <w:tc>
          <w:tcPr>
            <w:tcW w:w="2880" w:type="dxa"/>
          </w:tcPr>
          <w:p w14:paraId="63FE0CD0"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Tipo de obra / función</w:t>
            </w:r>
          </w:p>
        </w:tc>
        <w:tc>
          <w:tcPr>
            <w:tcW w:w="2880" w:type="dxa"/>
          </w:tcPr>
          <w:p w14:paraId="243E6992"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Precio base sugerido (COP)</w:t>
            </w:r>
          </w:p>
        </w:tc>
        <w:tc>
          <w:tcPr>
            <w:tcW w:w="2880" w:type="dxa"/>
          </w:tcPr>
          <w:p w14:paraId="0964DB76"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Comentarios</w:t>
            </w:r>
          </w:p>
        </w:tc>
      </w:tr>
      <w:tr w:rsidR="00A7033C" w14:paraId="1D11DC9C" w14:textId="77777777">
        <w:tc>
          <w:tcPr>
            <w:tcW w:w="2880" w:type="dxa"/>
          </w:tcPr>
          <w:p w14:paraId="32F609FC"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lastRenderedPageBreak/>
              <w:t>Obra nacional (producción mediana)</w:t>
            </w:r>
          </w:p>
        </w:tc>
        <w:tc>
          <w:tcPr>
            <w:tcW w:w="2880" w:type="dxa"/>
          </w:tcPr>
          <w:p w14:paraId="23E9E72F"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30,000 – 80,000</w:t>
            </w:r>
          </w:p>
        </w:tc>
        <w:tc>
          <w:tcPr>
            <w:tcW w:w="2880" w:type="dxa"/>
          </w:tcPr>
          <w:p w14:paraId="5F56B95C"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Público general habitual</w:t>
            </w:r>
          </w:p>
        </w:tc>
      </w:tr>
      <w:tr w:rsidR="00A7033C" w14:paraId="7C399DF2" w14:textId="77777777">
        <w:tc>
          <w:tcPr>
            <w:tcW w:w="2880" w:type="dxa"/>
          </w:tcPr>
          <w:p w14:paraId="51490C83"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Obra nacional “gran formato”</w:t>
            </w:r>
          </w:p>
        </w:tc>
        <w:tc>
          <w:tcPr>
            <w:tcW w:w="2880" w:type="dxa"/>
          </w:tcPr>
          <w:p w14:paraId="7A71CE22"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40,000 – 90,000</w:t>
            </w:r>
          </w:p>
        </w:tc>
        <w:tc>
          <w:tcPr>
            <w:tcW w:w="2880" w:type="dxa"/>
          </w:tcPr>
          <w:p w14:paraId="7AFDF8AA"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Mayor escala o renombre, menores precios corresponden a localidades con visibilidad parcial</w:t>
            </w:r>
          </w:p>
        </w:tc>
      </w:tr>
      <w:tr w:rsidR="00A7033C" w14:paraId="14E7C7AC" w14:textId="77777777">
        <w:tc>
          <w:tcPr>
            <w:tcW w:w="2880" w:type="dxa"/>
          </w:tcPr>
          <w:p w14:paraId="496D476C"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Obra internacional (escala media)</w:t>
            </w:r>
          </w:p>
        </w:tc>
        <w:tc>
          <w:tcPr>
            <w:tcW w:w="2880" w:type="dxa"/>
          </w:tcPr>
          <w:p w14:paraId="0059D37A"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40,000 – 140,000</w:t>
            </w:r>
          </w:p>
        </w:tc>
        <w:tc>
          <w:tcPr>
            <w:tcW w:w="2880" w:type="dxa"/>
          </w:tcPr>
          <w:p w14:paraId="1112AF9D"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Funciones regulares - menores precios corresponden a localidades con visibilidad parcial</w:t>
            </w:r>
          </w:p>
        </w:tc>
      </w:tr>
      <w:tr w:rsidR="00A7033C" w14:paraId="028AF7B8" w14:textId="77777777">
        <w:tc>
          <w:tcPr>
            <w:tcW w:w="2880" w:type="dxa"/>
          </w:tcPr>
          <w:p w14:paraId="1AE3C4B8"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Obra internacional de alta demanda</w:t>
            </w:r>
            <w:proofErr w:type="gramStart"/>
            <w:r>
              <w:rPr>
                <w:rFonts w:ascii="Cambria" w:eastAsia="Cambria" w:hAnsi="Cambria" w:cs="Cambria"/>
                <w:sz w:val="24"/>
                <w:szCs w:val="24"/>
              </w:rPr>
              <w:t>/“</w:t>
            </w:r>
            <w:proofErr w:type="gramEnd"/>
            <w:r>
              <w:rPr>
                <w:rFonts w:ascii="Cambria" w:eastAsia="Cambria" w:hAnsi="Cambria" w:cs="Cambria"/>
                <w:sz w:val="24"/>
                <w:szCs w:val="24"/>
              </w:rPr>
              <w:t>estrella”</w:t>
            </w:r>
          </w:p>
        </w:tc>
        <w:tc>
          <w:tcPr>
            <w:tcW w:w="2880" w:type="dxa"/>
          </w:tcPr>
          <w:p w14:paraId="2EFE8B76"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50,000 – 165.000</w:t>
            </w:r>
          </w:p>
        </w:tc>
        <w:tc>
          <w:tcPr>
            <w:tcW w:w="2880" w:type="dxa"/>
          </w:tcPr>
          <w:p w14:paraId="7638F7E5"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Valor percibido excepcional - menores precios corresponden a localidades con visibilidad parcial</w:t>
            </w:r>
          </w:p>
        </w:tc>
      </w:tr>
      <w:tr w:rsidR="00A7033C" w14:paraId="3E4CA6D0" w14:textId="77777777">
        <w:tc>
          <w:tcPr>
            <w:tcW w:w="2880" w:type="dxa"/>
          </w:tcPr>
          <w:p w14:paraId="284DF422"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Precio reducido (estudiantes, residentes)</w:t>
            </w:r>
          </w:p>
        </w:tc>
        <w:tc>
          <w:tcPr>
            <w:tcW w:w="2880" w:type="dxa"/>
          </w:tcPr>
          <w:p w14:paraId="519B8F39"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~50% del precio general</w:t>
            </w:r>
          </w:p>
        </w:tc>
        <w:tc>
          <w:tcPr>
            <w:tcW w:w="2880" w:type="dxa"/>
          </w:tcPr>
          <w:p w14:paraId="57D26A80"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Acceso cultural</w:t>
            </w:r>
          </w:p>
        </w:tc>
      </w:tr>
      <w:tr w:rsidR="00A7033C" w14:paraId="3D99F0F2" w14:textId="77777777">
        <w:tc>
          <w:tcPr>
            <w:tcW w:w="2880" w:type="dxa"/>
          </w:tcPr>
          <w:p w14:paraId="1DA84C23"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Preventa / “</w:t>
            </w:r>
            <w:proofErr w:type="spellStart"/>
            <w:r>
              <w:rPr>
                <w:rFonts w:ascii="Cambria" w:eastAsia="Cambria" w:hAnsi="Cambria" w:cs="Cambria"/>
                <w:sz w:val="24"/>
                <w:szCs w:val="24"/>
              </w:rPr>
              <w:t>early</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bird</w:t>
            </w:r>
            <w:proofErr w:type="spellEnd"/>
            <w:r>
              <w:rPr>
                <w:rFonts w:ascii="Cambria" w:eastAsia="Cambria" w:hAnsi="Cambria" w:cs="Cambria"/>
                <w:sz w:val="24"/>
                <w:szCs w:val="24"/>
              </w:rPr>
              <w:t>”</w:t>
            </w:r>
          </w:p>
        </w:tc>
        <w:tc>
          <w:tcPr>
            <w:tcW w:w="2880" w:type="dxa"/>
          </w:tcPr>
          <w:p w14:paraId="5C7D94A2"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-10% a -20%</w:t>
            </w:r>
          </w:p>
        </w:tc>
        <w:tc>
          <w:tcPr>
            <w:tcW w:w="2880" w:type="dxa"/>
          </w:tcPr>
          <w:p w14:paraId="58BBF459"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Incentivo compra anticipada</w:t>
            </w:r>
          </w:p>
        </w:tc>
      </w:tr>
      <w:tr w:rsidR="00A7033C" w14:paraId="7C0B4850" w14:textId="77777777">
        <w:tc>
          <w:tcPr>
            <w:tcW w:w="2880" w:type="dxa"/>
          </w:tcPr>
          <w:p w14:paraId="55BD3BFE"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 xml:space="preserve">Abonos / paquetes </w:t>
            </w:r>
            <w:proofErr w:type="spellStart"/>
            <w:r>
              <w:rPr>
                <w:rFonts w:ascii="Cambria" w:eastAsia="Cambria" w:hAnsi="Cambria" w:cs="Cambria"/>
                <w:sz w:val="24"/>
                <w:szCs w:val="24"/>
              </w:rPr>
              <w:t>multi-función</w:t>
            </w:r>
            <w:proofErr w:type="spellEnd"/>
          </w:p>
        </w:tc>
        <w:tc>
          <w:tcPr>
            <w:tcW w:w="2880" w:type="dxa"/>
          </w:tcPr>
          <w:p w14:paraId="57B3756F"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-10% a -25%</w:t>
            </w:r>
          </w:p>
        </w:tc>
        <w:tc>
          <w:tcPr>
            <w:tcW w:w="2880" w:type="dxa"/>
          </w:tcPr>
          <w:p w14:paraId="1AAD0E53"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Fidelización y asistencia múltiple</w:t>
            </w:r>
          </w:p>
        </w:tc>
      </w:tr>
    </w:tbl>
    <w:p w14:paraId="57E20DD0" w14:textId="77777777" w:rsidR="00A7033C" w:rsidRDefault="00000000">
      <w:pPr>
        <w:pStyle w:val="Ttulo3"/>
        <w:spacing w:before="200" w:after="0" w:line="276" w:lineRule="auto"/>
        <w:jc w:val="both"/>
        <w:rPr>
          <w:rFonts w:ascii="Cambria" w:eastAsia="Cambria" w:hAnsi="Cambria" w:cs="Cambria"/>
          <w:b/>
          <w:color w:val="000000"/>
          <w:sz w:val="24"/>
          <w:szCs w:val="24"/>
        </w:rPr>
      </w:pPr>
      <w:r>
        <w:rPr>
          <w:rFonts w:ascii="Cambria" w:eastAsia="Cambria" w:hAnsi="Cambria" w:cs="Cambria"/>
          <w:b/>
          <w:color w:val="000000"/>
          <w:sz w:val="24"/>
          <w:szCs w:val="24"/>
        </w:rPr>
        <w:t>Mecanismos de diferenciación y descuentos, accesibilidad:</w:t>
      </w:r>
    </w:p>
    <w:p w14:paraId="1638BC02"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 Escalas de precio según zona (platea, balcón).</w:t>
      </w:r>
      <w:r>
        <w:rPr>
          <w:rFonts w:ascii="Cambria" w:eastAsia="Cambria" w:hAnsi="Cambria" w:cs="Cambria"/>
          <w:sz w:val="24"/>
          <w:szCs w:val="24"/>
        </w:rPr>
        <w:br/>
        <w:t>- Descuentos para estudiantes, adultos mayores y grupos escolares.</w:t>
      </w:r>
      <w:r>
        <w:rPr>
          <w:rFonts w:ascii="Cambria" w:eastAsia="Cambria" w:hAnsi="Cambria" w:cs="Cambria"/>
          <w:sz w:val="24"/>
          <w:szCs w:val="24"/>
        </w:rPr>
        <w:br/>
        <w:t>- Preventas con tarifas promocionales.</w:t>
      </w:r>
      <w:r>
        <w:rPr>
          <w:rFonts w:ascii="Cambria" w:eastAsia="Cambria" w:hAnsi="Cambria" w:cs="Cambria"/>
          <w:sz w:val="24"/>
          <w:szCs w:val="24"/>
        </w:rPr>
        <w:br/>
        <w:t>- Ofertas de último momento para optimizar venta residual.</w:t>
      </w:r>
    </w:p>
    <w:p w14:paraId="19914B3B" w14:textId="77777777" w:rsidR="00A7033C" w:rsidRDefault="00000000">
      <w:pPr>
        <w:spacing w:before="240" w:after="240" w:line="276" w:lineRule="auto"/>
        <w:jc w:val="both"/>
        <w:rPr>
          <w:rFonts w:ascii="Cambria" w:eastAsia="Cambria" w:hAnsi="Cambria" w:cs="Cambria"/>
          <w:sz w:val="24"/>
          <w:szCs w:val="24"/>
        </w:rPr>
      </w:pPr>
      <w:r>
        <w:rPr>
          <w:rFonts w:ascii="Cambria" w:eastAsia="Cambria" w:hAnsi="Cambria" w:cs="Cambria"/>
          <w:sz w:val="24"/>
          <w:szCs w:val="24"/>
        </w:rPr>
        <w:t>Dentro de las estrategias de diferenciación y accesibilidad, se propone incluir algunas funciones en teatros con entrada libre. Esta medida busca acercar la oferta del festival a públicos diversos, eliminar barreras económicas de acceso y fomentar la participación ciudadana en espacios culturales, fortaleciendo el vínculo del FIAV con la comunidad.</w:t>
      </w:r>
    </w:p>
    <w:p w14:paraId="75FFDA3E" w14:textId="77777777" w:rsidR="00A7033C" w:rsidRDefault="00000000">
      <w:pPr>
        <w:pStyle w:val="Ttulo2"/>
        <w:spacing w:before="200" w:after="0" w:line="276" w:lineRule="auto"/>
        <w:jc w:val="both"/>
        <w:rPr>
          <w:rFonts w:ascii="Cambria" w:eastAsia="Cambria" w:hAnsi="Cambria" w:cs="Cambria"/>
          <w:sz w:val="24"/>
          <w:szCs w:val="24"/>
        </w:rPr>
      </w:pPr>
      <w:r>
        <w:rPr>
          <w:rFonts w:ascii="Cambria" w:eastAsia="Cambria" w:hAnsi="Cambria" w:cs="Cambria"/>
          <w:b/>
          <w:color w:val="000000"/>
          <w:sz w:val="24"/>
          <w:szCs w:val="24"/>
        </w:rPr>
        <w:lastRenderedPageBreak/>
        <w:t>5. Modelo Financiero</w:t>
      </w:r>
    </w:p>
    <w:p w14:paraId="7364651F" w14:textId="77777777" w:rsidR="00A7033C" w:rsidRDefault="00000000">
      <w:pPr>
        <w:pStyle w:val="Ttulo4"/>
        <w:keepNext w:val="0"/>
        <w:keepLines w:val="0"/>
        <w:spacing w:before="240"/>
        <w:jc w:val="both"/>
        <w:rPr>
          <w:rFonts w:ascii="Cambria" w:eastAsia="Cambria" w:hAnsi="Cambria" w:cs="Cambria"/>
          <w:b/>
          <w:i w:val="0"/>
          <w:color w:val="000000"/>
          <w:sz w:val="24"/>
          <w:szCs w:val="24"/>
        </w:rPr>
      </w:pPr>
      <w:bookmarkStart w:id="0" w:name="_heading=h.qttf5d4tutuh" w:colFirst="0" w:colLast="0"/>
      <w:bookmarkEnd w:id="0"/>
      <w:r>
        <w:rPr>
          <w:rFonts w:ascii="Cambria" w:eastAsia="Cambria" w:hAnsi="Cambria" w:cs="Cambria"/>
          <w:b/>
          <w:i w:val="0"/>
          <w:color w:val="000000"/>
          <w:sz w:val="24"/>
          <w:szCs w:val="24"/>
        </w:rPr>
        <w:t>5.1. Consideraciones generales</w:t>
      </w:r>
    </w:p>
    <w:p w14:paraId="6D8845FA" w14:textId="77777777" w:rsidR="00A7033C" w:rsidRDefault="00000000">
      <w:pPr>
        <w:spacing w:before="240" w:after="240"/>
        <w:jc w:val="both"/>
        <w:rPr>
          <w:rFonts w:ascii="Cambria" w:eastAsia="Cambria" w:hAnsi="Cambria" w:cs="Cambria"/>
          <w:sz w:val="24"/>
          <w:szCs w:val="24"/>
        </w:rPr>
      </w:pPr>
      <w:r>
        <w:rPr>
          <w:rFonts w:ascii="Cambria" w:eastAsia="Cambria" w:hAnsi="Cambria" w:cs="Cambria"/>
          <w:sz w:val="24"/>
          <w:szCs w:val="24"/>
        </w:rPr>
        <w:t xml:space="preserve">Para la estructuración del modelo financiero de boletería del </w:t>
      </w:r>
      <w:r>
        <w:rPr>
          <w:rFonts w:ascii="Cambria" w:eastAsia="Cambria" w:hAnsi="Cambria" w:cs="Cambria"/>
          <w:b/>
          <w:sz w:val="24"/>
          <w:szCs w:val="24"/>
        </w:rPr>
        <w:t>Festival Internacional de Artes Vivas de Bogotá – FIAV 2026</w:t>
      </w:r>
      <w:r>
        <w:rPr>
          <w:rFonts w:ascii="Cambria" w:eastAsia="Cambria" w:hAnsi="Cambria" w:cs="Cambria"/>
          <w:sz w:val="24"/>
          <w:szCs w:val="24"/>
        </w:rPr>
        <w:t>, se han considerado los principales teatros y escenarios aliados del festival, los cuales permiten albergar funciones de gran, mediano y pequeño formato, según su capacidad técnica, aforo y condiciones de infraestructura.</w:t>
      </w:r>
    </w:p>
    <w:p w14:paraId="1FF1816E" w14:textId="77777777" w:rsidR="00A7033C" w:rsidRDefault="00000000">
      <w:pPr>
        <w:spacing w:before="240" w:after="240"/>
        <w:jc w:val="both"/>
        <w:rPr>
          <w:rFonts w:ascii="Cambria" w:eastAsia="Cambria" w:hAnsi="Cambria" w:cs="Cambria"/>
          <w:sz w:val="24"/>
          <w:szCs w:val="24"/>
        </w:rPr>
      </w:pPr>
      <w:r>
        <w:rPr>
          <w:rFonts w:ascii="Cambria" w:eastAsia="Cambria" w:hAnsi="Cambria" w:cs="Cambria"/>
          <w:sz w:val="24"/>
          <w:szCs w:val="24"/>
        </w:rPr>
        <w:t>Los teatros incluidos en el modelo son:</w:t>
      </w:r>
    </w:p>
    <w:p w14:paraId="0EFF2B4F" w14:textId="77777777" w:rsidR="00A7033C" w:rsidRDefault="00000000">
      <w:pPr>
        <w:keepLines/>
        <w:numPr>
          <w:ilvl w:val="0"/>
          <w:numId w:val="1"/>
        </w:numPr>
        <w:spacing w:after="240" w:line="240" w:lineRule="auto"/>
        <w:jc w:val="both"/>
        <w:rPr>
          <w:rFonts w:ascii="Cambria" w:eastAsia="Cambria" w:hAnsi="Cambria" w:cs="Cambria"/>
          <w:sz w:val="24"/>
          <w:szCs w:val="24"/>
        </w:rPr>
      </w:pPr>
      <w:r>
        <w:rPr>
          <w:rFonts w:ascii="Cambria" w:eastAsia="Cambria" w:hAnsi="Cambria" w:cs="Cambria"/>
          <w:sz w:val="24"/>
          <w:szCs w:val="24"/>
        </w:rPr>
        <w:t>Teatro Colón</w:t>
      </w:r>
    </w:p>
    <w:p w14:paraId="6E2D4113" w14:textId="77777777" w:rsidR="00A7033C" w:rsidRDefault="00000000">
      <w:pPr>
        <w:keepLines/>
        <w:numPr>
          <w:ilvl w:val="0"/>
          <w:numId w:val="1"/>
        </w:numPr>
        <w:spacing w:after="240" w:line="240" w:lineRule="auto"/>
        <w:jc w:val="both"/>
        <w:rPr>
          <w:rFonts w:ascii="Cambria" w:eastAsia="Cambria" w:hAnsi="Cambria" w:cs="Cambria"/>
          <w:sz w:val="24"/>
          <w:szCs w:val="24"/>
        </w:rPr>
      </w:pPr>
      <w:r>
        <w:rPr>
          <w:rFonts w:ascii="Cambria" w:eastAsia="Cambria" w:hAnsi="Cambria" w:cs="Cambria"/>
          <w:sz w:val="24"/>
          <w:szCs w:val="24"/>
        </w:rPr>
        <w:t>Teatro Colsubsidio Roberto Arias Pérez</w:t>
      </w:r>
    </w:p>
    <w:p w14:paraId="59266BC3" w14:textId="77777777" w:rsidR="00A7033C" w:rsidRDefault="00000000">
      <w:pPr>
        <w:keepLines/>
        <w:numPr>
          <w:ilvl w:val="0"/>
          <w:numId w:val="1"/>
        </w:numPr>
        <w:spacing w:after="0" w:line="240" w:lineRule="auto"/>
        <w:jc w:val="both"/>
        <w:rPr>
          <w:rFonts w:ascii="Cambria" w:eastAsia="Cambria" w:hAnsi="Cambria" w:cs="Cambria"/>
          <w:sz w:val="24"/>
          <w:szCs w:val="24"/>
        </w:rPr>
      </w:pPr>
      <w:r>
        <w:rPr>
          <w:rFonts w:ascii="Cambria" w:eastAsia="Cambria" w:hAnsi="Cambria" w:cs="Cambria"/>
          <w:sz w:val="24"/>
          <w:szCs w:val="24"/>
        </w:rPr>
        <w:t>Teatro El Ensueño</w:t>
      </w:r>
      <w:r>
        <w:rPr>
          <w:rFonts w:ascii="Cambria" w:eastAsia="Cambria" w:hAnsi="Cambria" w:cs="Cambria"/>
          <w:sz w:val="24"/>
          <w:szCs w:val="24"/>
        </w:rPr>
        <w:br/>
      </w:r>
    </w:p>
    <w:p w14:paraId="32010D67" w14:textId="77777777" w:rsidR="00A7033C" w:rsidRDefault="00000000">
      <w:pPr>
        <w:keepLines/>
        <w:numPr>
          <w:ilvl w:val="0"/>
          <w:numId w:val="1"/>
        </w:numPr>
        <w:spacing w:after="0" w:line="240" w:lineRule="auto"/>
        <w:jc w:val="both"/>
        <w:rPr>
          <w:rFonts w:ascii="Cambria" w:eastAsia="Cambria" w:hAnsi="Cambria" w:cs="Cambria"/>
          <w:sz w:val="24"/>
          <w:szCs w:val="24"/>
        </w:rPr>
      </w:pPr>
      <w:r>
        <w:rPr>
          <w:rFonts w:ascii="Cambria" w:eastAsia="Cambria" w:hAnsi="Cambria" w:cs="Cambria"/>
          <w:sz w:val="24"/>
          <w:szCs w:val="24"/>
        </w:rPr>
        <w:t>Teatro Municipal Jorge Eliécer Gaitán</w:t>
      </w:r>
      <w:r>
        <w:rPr>
          <w:rFonts w:ascii="Cambria" w:eastAsia="Cambria" w:hAnsi="Cambria" w:cs="Cambria"/>
          <w:sz w:val="24"/>
          <w:szCs w:val="24"/>
        </w:rPr>
        <w:br/>
      </w:r>
    </w:p>
    <w:p w14:paraId="6D6C0208" w14:textId="77777777" w:rsidR="00A7033C" w:rsidRDefault="00000000">
      <w:pPr>
        <w:keepLines/>
        <w:numPr>
          <w:ilvl w:val="0"/>
          <w:numId w:val="1"/>
        </w:numPr>
        <w:spacing w:after="0" w:line="240" w:lineRule="auto"/>
        <w:jc w:val="both"/>
        <w:rPr>
          <w:rFonts w:ascii="Cambria" w:eastAsia="Cambria" w:hAnsi="Cambria" w:cs="Cambria"/>
          <w:sz w:val="24"/>
          <w:szCs w:val="24"/>
        </w:rPr>
      </w:pPr>
      <w:r>
        <w:rPr>
          <w:rFonts w:ascii="Cambria" w:eastAsia="Cambria" w:hAnsi="Cambria" w:cs="Cambria"/>
          <w:sz w:val="24"/>
          <w:szCs w:val="24"/>
        </w:rPr>
        <w:t>Teatro Mayor Julio Mario Santo Domingo</w:t>
      </w:r>
      <w:r>
        <w:rPr>
          <w:rFonts w:ascii="Cambria" w:eastAsia="Cambria" w:hAnsi="Cambria" w:cs="Cambria"/>
          <w:sz w:val="24"/>
          <w:szCs w:val="24"/>
        </w:rPr>
        <w:br/>
      </w:r>
    </w:p>
    <w:p w14:paraId="6396D009" w14:textId="77777777" w:rsidR="00A7033C" w:rsidRDefault="00000000">
      <w:pPr>
        <w:keepLines/>
        <w:numPr>
          <w:ilvl w:val="0"/>
          <w:numId w:val="1"/>
        </w:numPr>
        <w:spacing w:after="0" w:line="240" w:lineRule="auto"/>
        <w:jc w:val="both"/>
        <w:rPr>
          <w:rFonts w:ascii="Cambria" w:eastAsia="Cambria" w:hAnsi="Cambria" w:cs="Cambria"/>
          <w:sz w:val="24"/>
          <w:szCs w:val="24"/>
        </w:rPr>
      </w:pPr>
      <w:r>
        <w:rPr>
          <w:rFonts w:ascii="Cambria" w:eastAsia="Cambria" w:hAnsi="Cambria" w:cs="Cambria"/>
          <w:sz w:val="24"/>
          <w:szCs w:val="24"/>
        </w:rPr>
        <w:t>Centro Nacional de las Artes – Sala Delia Zapata Olivella</w:t>
      </w:r>
      <w:r>
        <w:rPr>
          <w:rFonts w:ascii="Cambria" w:eastAsia="Cambria" w:hAnsi="Cambria" w:cs="Cambria"/>
          <w:sz w:val="24"/>
          <w:szCs w:val="24"/>
        </w:rPr>
        <w:br/>
      </w:r>
    </w:p>
    <w:p w14:paraId="2BB7CF19" w14:textId="77777777" w:rsidR="00A7033C" w:rsidRDefault="00000000">
      <w:pPr>
        <w:keepLines/>
        <w:numPr>
          <w:ilvl w:val="0"/>
          <w:numId w:val="1"/>
        </w:numPr>
        <w:spacing w:after="0" w:line="240" w:lineRule="auto"/>
        <w:jc w:val="both"/>
        <w:rPr>
          <w:rFonts w:ascii="Cambria" w:eastAsia="Cambria" w:hAnsi="Cambria" w:cs="Cambria"/>
          <w:sz w:val="24"/>
          <w:szCs w:val="24"/>
        </w:rPr>
      </w:pPr>
      <w:r>
        <w:rPr>
          <w:rFonts w:ascii="Cambria" w:eastAsia="Cambria" w:hAnsi="Cambria" w:cs="Cambria"/>
          <w:sz w:val="24"/>
          <w:szCs w:val="24"/>
        </w:rPr>
        <w:t>Teatro Libre de Chapinero</w:t>
      </w:r>
      <w:r>
        <w:rPr>
          <w:rFonts w:ascii="Cambria" w:eastAsia="Cambria" w:hAnsi="Cambria" w:cs="Cambria"/>
          <w:sz w:val="24"/>
          <w:szCs w:val="24"/>
        </w:rPr>
        <w:br/>
      </w:r>
    </w:p>
    <w:p w14:paraId="4590C627" w14:textId="77777777" w:rsidR="00A7033C" w:rsidRDefault="00000000">
      <w:pPr>
        <w:keepLines/>
        <w:numPr>
          <w:ilvl w:val="0"/>
          <w:numId w:val="1"/>
        </w:numPr>
        <w:spacing w:after="0" w:line="240" w:lineRule="auto"/>
        <w:jc w:val="both"/>
        <w:rPr>
          <w:rFonts w:ascii="Cambria" w:eastAsia="Cambria" w:hAnsi="Cambria" w:cs="Cambria"/>
          <w:sz w:val="24"/>
          <w:szCs w:val="24"/>
        </w:rPr>
      </w:pPr>
      <w:r>
        <w:rPr>
          <w:rFonts w:ascii="Cambria" w:eastAsia="Cambria" w:hAnsi="Cambria" w:cs="Cambria"/>
          <w:sz w:val="24"/>
          <w:szCs w:val="24"/>
        </w:rPr>
        <w:t>Planetario Distrital</w:t>
      </w:r>
      <w:r>
        <w:rPr>
          <w:rFonts w:ascii="Cambria" w:eastAsia="Cambria" w:hAnsi="Cambria" w:cs="Cambria"/>
          <w:sz w:val="24"/>
          <w:szCs w:val="24"/>
        </w:rPr>
        <w:br/>
      </w:r>
    </w:p>
    <w:p w14:paraId="5E0E985D" w14:textId="77777777" w:rsidR="00A7033C" w:rsidRDefault="00000000">
      <w:pPr>
        <w:keepLines/>
        <w:numPr>
          <w:ilvl w:val="0"/>
          <w:numId w:val="1"/>
        </w:numPr>
        <w:spacing w:after="0" w:line="240" w:lineRule="auto"/>
        <w:jc w:val="both"/>
        <w:rPr>
          <w:rFonts w:ascii="Cambria" w:eastAsia="Cambria" w:hAnsi="Cambria" w:cs="Cambria"/>
          <w:sz w:val="24"/>
          <w:szCs w:val="24"/>
        </w:rPr>
      </w:pPr>
      <w:r>
        <w:rPr>
          <w:rFonts w:ascii="Cambria" w:eastAsia="Cambria" w:hAnsi="Cambria" w:cs="Cambria"/>
          <w:sz w:val="24"/>
          <w:szCs w:val="24"/>
        </w:rPr>
        <w:t>Teatro Estudio Julio Mario Santo Domingo</w:t>
      </w:r>
      <w:r>
        <w:rPr>
          <w:rFonts w:ascii="Cambria" w:eastAsia="Cambria" w:hAnsi="Cambria" w:cs="Cambria"/>
          <w:sz w:val="24"/>
          <w:szCs w:val="24"/>
        </w:rPr>
        <w:br/>
      </w:r>
    </w:p>
    <w:p w14:paraId="70F80B96" w14:textId="77777777" w:rsidR="00A7033C" w:rsidRDefault="00000000">
      <w:pPr>
        <w:keepLines/>
        <w:numPr>
          <w:ilvl w:val="0"/>
          <w:numId w:val="1"/>
        </w:numPr>
        <w:spacing w:after="0" w:line="240" w:lineRule="auto"/>
        <w:jc w:val="both"/>
        <w:rPr>
          <w:rFonts w:ascii="Cambria" w:eastAsia="Cambria" w:hAnsi="Cambria" w:cs="Cambria"/>
          <w:sz w:val="24"/>
          <w:szCs w:val="24"/>
        </w:rPr>
      </w:pPr>
      <w:r>
        <w:rPr>
          <w:rFonts w:ascii="Cambria" w:eastAsia="Cambria" w:hAnsi="Cambria" w:cs="Cambria"/>
          <w:sz w:val="24"/>
          <w:szCs w:val="24"/>
        </w:rPr>
        <w:t>Teatro La Candelaria</w:t>
      </w:r>
      <w:r>
        <w:rPr>
          <w:rFonts w:ascii="Cambria" w:eastAsia="Cambria" w:hAnsi="Cambria" w:cs="Cambria"/>
          <w:sz w:val="24"/>
          <w:szCs w:val="24"/>
        </w:rPr>
        <w:br/>
      </w:r>
    </w:p>
    <w:p w14:paraId="76E17798" w14:textId="77777777" w:rsidR="00A7033C" w:rsidRDefault="00000000">
      <w:pPr>
        <w:keepLines/>
        <w:numPr>
          <w:ilvl w:val="0"/>
          <w:numId w:val="1"/>
        </w:numPr>
        <w:spacing w:after="0" w:line="240" w:lineRule="auto"/>
        <w:jc w:val="both"/>
        <w:rPr>
          <w:rFonts w:ascii="Cambria" w:eastAsia="Cambria" w:hAnsi="Cambria" w:cs="Cambria"/>
          <w:sz w:val="24"/>
          <w:szCs w:val="24"/>
        </w:rPr>
      </w:pPr>
      <w:r>
        <w:rPr>
          <w:rFonts w:ascii="Cambria" w:eastAsia="Cambria" w:hAnsi="Cambria" w:cs="Cambria"/>
          <w:sz w:val="24"/>
          <w:szCs w:val="24"/>
        </w:rPr>
        <w:t>Teatro Ditirambo Galerías</w:t>
      </w:r>
      <w:r>
        <w:rPr>
          <w:rFonts w:ascii="Cambria" w:eastAsia="Cambria" w:hAnsi="Cambria" w:cs="Cambria"/>
          <w:sz w:val="24"/>
          <w:szCs w:val="24"/>
        </w:rPr>
        <w:br/>
      </w:r>
    </w:p>
    <w:p w14:paraId="42B5F708" w14:textId="77777777" w:rsidR="00A7033C" w:rsidRDefault="00000000">
      <w:pPr>
        <w:keepLines/>
        <w:numPr>
          <w:ilvl w:val="0"/>
          <w:numId w:val="1"/>
        </w:numPr>
        <w:spacing w:after="0" w:line="240" w:lineRule="auto"/>
        <w:jc w:val="both"/>
        <w:rPr>
          <w:rFonts w:ascii="Cambria" w:eastAsia="Cambria" w:hAnsi="Cambria" w:cs="Cambria"/>
          <w:sz w:val="24"/>
          <w:szCs w:val="24"/>
        </w:rPr>
      </w:pPr>
      <w:r>
        <w:rPr>
          <w:rFonts w:ascii="Cambria" w:eastAsia="Cambria" w:hAnsi="Cambria" w:cs="Cambria"/>
          <w:sz w:val="24"/>
          <w:szCs w:val="24"/>
        </w:rPr>
        <w:t xml:space="preserve">Centro Nacional de las Artes – Sala Fanny </w:t>
      </w:r>
      <w:proofErr w:type="spellStart"/>
      <w:r>
        <w:rPr>
          <w:rFonts w:ascii="Cambria" w:eastAsia="Cambria" w:hAnsi="Cambria" w:cs="Cambria"/>
          <w:sz w:val="24"/>
          <w:szCs w:val="24"/>
        </w:rPr>
        <w:t>Mikey</w:t>
      </w:r>
      <w:proofErr w:type="spellEnd"/>
      <w:r>
        <w:rPr>
          <w:rFonts w:ascii="Cambria" w:eastAsia="Cambria" w:hAnsi="Cambria" w:cs="Cambria"/>
          <w:sz w:val="24"/>
          <w:szCs w:val="24"/>
        </w:rPr>
        <w:br/>
      </w:r>
    </w:p>
    <w:p w14:paraId="59D2CEA3" w14:textId="77777777" w:rsidR="00A7033C" w:rsidRDefault="00000000">
      <w:pPr>
        <w:keepLines/>
        <w:numPr>
          <w:ilvl w:val="0"/>
          <w:numId w:val="1"/>
        </w:numPr>
        <w:spacing w:after="0" w:line="240" w:lineRule="auto"/>
        <w:jc w:val="both"/>
        <w:rPr>
          <w:rFonts w:ascii="Cambria" w:eastAsia="Cambria" w:hAnsi="Cambria" w:cs="Cambria"/>
          <w:sz w:val="24"/>
          <w:szCs w:val="24"/>
        </w:rPr>
      </w:pPr>
      <w:r>
        <w:rPr>
          <w:rFonts w:ascii="Cambria" w:eastAsia="Cambria" w:hAnsi="Cambria" w:cs="Cambria"/>
          <w:sz w:val="24"/>
          <w:szCs w:val="24"/>
        </w:rPr>
        <w:t>Teatro Hilos Mágicos</w:t>
      </w:r>
      <w:r>
        <w:rPr>
          <w:rFonts w:ascii="Cambria" w:eastAsia="Cambria" w:hAnsi="Cambria" w:cs="Cambria"/>
          <w:sz w:val="24"/>
          <w:szCs w:val="24"/>
        </w:rPr>
        <w:br/>
      </w:r>
    </w:p>
    <w:p w14:paraId="074E302A" w14:textId="77777777" w:rsidR="00A7033C" w:rsidRDefault="00000000">
      <w:pPr>
        <w:keepLines/>
        <w:numPr>
          <w:ilvl w:val="0"/>
          <w:numId w:val="1"/>
        </w:numPr>
        <w:spacing w:after="0" w:line="240" w:lineRule="auto"/>
        <w:jc w:val="both"/>
        <w:rPr>
          <w:rFonts w:ascii="Cambria" w:eastAsia="Cambria" w:hAnsi="Cambria" w:cs="Cambria"/>
          <w:sz w:val="24"/>
          <w:szCs w:val="24"/>
        </w:rPr>
      </w:pPr>
      <w:r>
        <w:rPr>
          <w:rFonts w:ascii="Cambria" w:eastAsia="Cambria" w:hAnsi="Cambria" w:cs="Cambria"/>
          <w:sz w:val="24"/>
          <w:szCs w:val="24"/>
        </w:rPr>
        <w:t>Teatro Libre del Centro</w:t>
      </w:r>
      <w:r>
        <w:rPr>
          <w:rFonts w:ascii="Cambria" w:eastAsia="Cambria" w:hAnsi="Cambria" w:cs="Cambria"/>
          <w:sz w:val="24"/>
          <w:szCs w:val="24"/>
        </w:rPr>
        <w:br/>
      </w:r>
    </w:p>
    <w:p w14:paraId="5D9A72C7" w14:textId="77777777" w:rsidR="00A7033C" w:rsidRDefault="00000000">
      <w:pPr>
        <w:keepLines/>
        <w:numPr>
          <w:ilvl w:val="0"/>
          <w:numId w:val="1"/>
        </w:numPr>
        <w:spacing w:after="0" w:line="240" w:lineRule="auto"/>
        <w:jc w:val="both"/>
        <w:rPr>
          <w:rFonts w:ascii="Cambria" w:eastAsia="Cambria" w:hAnsi="Cambria" w:cs="Cambria"/>
          <w:sz w:val="24"/>
          <w:szCs w:val="24"/>
        </w:rPr>
      </w:pPr>
      <w:r>
        <w:rPr>
          <w:rFonts w:ascii="Cambria" w:eastAsia="Cambria" w:hAnsi="Cambria" w:cs="Cambria"/>
          <w:sz w:val="24"/>
          <w:szCs w:val="24"/>
        </w:rPr>
        <w:t>Teatro R101</w:t>
      </w:r>
      <w:r>
        <w:rPr>
          <w:rFonts w:ascii="Cambria" w:eastAsia="Cambria" w:hAnsi="Cambria" w:cs="Cambria"/>
          <w:sz w:val="24"/>
          <w:szCs w:val="24"/>
        </w:rPr>
        <w:br/>
      </w:r>
    </w:p>
    <w:p w14:paraId="09322CFD" w14:textId="77777777" w:rsidR="00A7033C" w:rsidRDefault="00000000">
      <w:pPr>
        <w:keepLines/>
        <w:numPr>
          <w:ilvl w:val="0"/>
          <w:numId w:val="1"/>
        </w:numPr>
        <w:spacing w:after="0" w:line="240" w:lineRule="auto"/>
        <w:jc w:val="both"/>
        <w:rPr>
          <w:rFonts w:ascii="Cambria" w:eastAsia="Cambria" w:hAnsi="Cambria" w:cs="Cambria"/>
          <w:sz w:val="24"/>
          <w:szCs w:val="24"/>
        </w:rPr>
      </w:pPr>
      <w:r>
        <w:rPr>
          <w:rFonts w:ascii="Cambria" w:eastAsia="Cambria" w:hAnsi="Cambria" w:cs="Cambria"/>
          <w:sz w:val="24"/>
          <w:szCs w:val="24"/>
        </w:rPr>
        <w:t>Teatro Taller de Colombia</w:t>
      </w:r>
      <w:r>
        <w:rPr>
          <w:rFonts w:ascii="Cambria" w:eastAsia="Cambria" w:hAnsi="Cambria" w:cs="Cambria"/>
          <w:sz w:val="24"/>
          <w:szCs w:val="24"/>
        </w:rPr>
        <w:br/>
      </w:r>
    </w:p>
    <w:p w14:paraId="64F4A094" w14:textId="77777777" w:rsidR="00A7033C" w:rsidRDefault="00000000">
      <w:pPr>
        <w:keepLines/>
        <w:numPr>
          <w:ilvl w:val="0"/>
          <w:numId w:val="1"/>
        </w:numPr>
        <w:spacing w:after="0" w:line="240" w:lineRule="auto"/>
        <w:jc w:val="both"/>
        <w:rPr>
          <w:rFonts w:ascii="Cambria" w:eastAsia="Cambria" w:hAnsi="Cambria" w:cs="Cambria"/>
          <w:sz w:val="24"/>
          <w:szCs w:val="24"/>
        </w:rPr>
      </w:pPr>
      <w:r>
        <w:rPr>
          <w:rFonts w:ascii="Cambria" w:eastAsia="Cambria" w:hAnsi="Cambria" w:cs="Cambria"/>
          <w:sz w:val="24"/>
          <w:szCs w:val="24"/>
        </w:rPr>
        <w:lastRenderedPageBreak/>
        <w:t>Teatro El Parque</w:t>
      </w:r>
      <w:r>
        <w:rPr>
          <w:rFonts w:ascii="Cambria" w:eastAsia="Cambria" w:hAnsi="Cambria" w:cs="Cambria"/>
          <w:sz w:val="24"/>
          <w:szCs w:val="24"/>
        </w:rPr>
        <w:br/>
      </w:r>
    </w:p>
    <w:p w14:paraId="17C13039" w14:textId="77777777" w:rsidR="00A7033C" w:rsidRDefault="00000000">
      <w:pPr>
        <w:keepLines/>
        <w:numPr>
          <w:ilvl w:val="0"/>
          <w:numId w:val="1"/>
        </w:numPr>
        <w:spacing w:after="0" w:line="240" w:lineRule="auto"/>
        <w:jc w:val="both"/>
        <w:rPr>
          <w:rFonts w:ascii="Cambria" w:eastAsia="Cambria" w:hAnsi="Cambria" w:cs="Cambria"/>
          <w:sz w:val="24"/>
          <w:szCs w:val="24"/>
        </w:rPr>
      </w:pPr>
      <w:r>
        <w:rPr>
          <w:rFonts w:ascii="Cambria" w:eastAsia="Cambria" w:hAnsi="Cambria" w:cs="Cambria"/>
          <w:sz w:val="24"/>
          <w:szCs w:val="24"/>
        </w:rPr>
        <w:t xml:space="preserve">Teatro Casa </w:t>
      </w:r>
      <w:proofErr w:type="spellStart"/>
      <w:r>
        <w:rPr>
          <w:rFonts w:ascii="Cambria" w:eastAsia="Cambria" w:hAnsi="Cambria" w:cs="Cambria"/>
          <w:sz w:val="24"/>
          <w:szCs w:val="24"/>
        </w:rPr>
        <w:t>Teatrova</w:t>
      </w:r>
      <w:proofErr w:type="spellEnd"/>
      <w:r>
        <w:rPr>
          <w:rFonts w:ascii="Cambria" w:eastAsia="Cambria" w:hAnsi="Cambria" w:cs="Cambria"/>
          <w:sz w:val="24"/>
          <w:szCs w:val="24"/>
        </w:rPr>
        <w:br/>
      </w:r>
    </w:p>
    <w:p w14:paraId="6963C81B" w14:textId="77777777" w:rsidR="00A7033C" w:rsidRDefault="00000000">
      <w:pPr>
        <w:keepLines/>
        <w:numPr>
          <w:ilvl w:val="0"/>
          <w:numId w:val="1"/>
        </w:numPr>
        <w:spacing w:after="0" w:line="240" w:lineRule="auto"/>
        <w:jc w:val="both"/>
        <w:rPr>
          <w:rFonts w:ascii="Cambria" w:eastAsia="Cambria" w:hAnsi="Cambria" w:cs="Cambria"/>
          <w:sz w:val="24"/>
          <w:szCs w:val="24"/>
        </w:rPr>
      </w:pPr>
      <w:r>
        <w:rPr>
          <w:rFonts w:ascii="Cambria" w:eastAsia="Cambria" w:hAnsi="Cambria" w:cs="Cambria"/>
          <w:sz w:val="24"/>
          <w:szCs w:val="24"/>
        </w:rPr>
        <w:t xml:space="preserve">La Factoría Tino Fernández – </w:t>
      </w:r>
      <w:proofErr w:type="spellStart"/>
      <w:r>
        <w:rPr>
          <w:rFonts w:ascii="Cambria" w:eastAsia="Cambria" w:hAnsi="Cambria" w:cs="Cambria"/>
          <w:sz w:val="24"/>
          <w:szCs w:val="24"/>
        </w:rPr>
        <w:t>L’Explose</w:t>
      </w:r>
      <w:proofErr w:type="spellEnd"/>
    </w:p>
    <w:p w14:paraId="3400A600" w14:textId="77777777" w:rsidR="00A7033C" w:rsidRDefault="00000000">
      <w:pPr>
        <w:keepLines/>
        <w:numPr>
          <w:ilvl w:val="0"/>
          <w:numId w:val="1"/>
        </w:numPr>
        <w:spacing w:after="0" w:line="240" w:lineRule="auto"/>
        <w:jc w:val="both"/>
        <w:rPr>
          <w:rFonts w:ascii="Cambria" w:eastAsia="Cambria" w:hAnsi="Cambria" w:cs="Cambria"/>
          <w:sz w:val="24"/>
          <w:szCs w:val="24"/>
        </w:rPr>
      </w:pPr>
      <w:r>
        <w:rPr>
          <w:rFonts w:ascii="Cambria" w:eastAsia="Cambria" w:hAnsi="Cambria" w:cs="Cambria"/>
          <w:sz w:val="24"/>
          <w:szCs w:val="24"/>
        </w:rPr>
        <w:t xml:space="preserve">Casa del Teatro Nacional - Sala </w:t>
      </w:r>
      <w:proofErr w:type="spellStart"/>
      <w:r>
        <w:rPr>
          <w:rFonts w:ascii="Cambria" w:eastAsia="Cambria" w:hAnsi="Cambria" w:cs="Cambria"/>
          <w:sz w:val="24"/>
          <w:szCs w:val="24"/>
        </w:rPr>
        <w:t>Monterfiori</w:t>
      </w:r>
      <w:proofErr w:type="spellEnd"/>
    </w:p>
    <w:p w14:paraId="17ED20F3" w14:textId="77777777" w:rsidR="00A7033C" w:rsidRDefault="00000000">
      <w:pPr>
        <w:pStyle w:val="Ttulo4"/>
        <w:keepNext w:val="0"/>
        <w:keepLines w:val="0"/>
        <w:spacing w:before="240"/>
        <w:jc w:val="both"/>
        <w:rPr>
          <w:rFonts w:ascii="Cambria" w:eastAsia="Cambria" w:hAnsi="Cambria" w:cs="Cambria"/>
          <w:b/>
          <w:i w:val="0"/>
          <w:color w:val="000000"/>
          <w:sz w:val="24"/>
          <w:szCs w:val="24"/>
        </w:rPr>
      </w:pPr>
      <w:bookmarkStart w:id="1" w:name="_heading=h.yf9rxodwdih" w:colFirst="0" w:colLast="0"/>
      <w:bookmarkEnd w:id="1"/>
      <w:r>
        <w:rPr>
          <w:rFonts w:ascii="Cambria" w:eastAsia="Cambria" w:hAnsi="Cambria" w:cs="Cambria"/>
          <w:b/>
          <w:i w:val="0"/>
          <w:color w:val="000000"/>
          <w:sz w:val="24"/>
          <w:szCs w:val="24"/>
        </w:rPr>
        <w:t>5.2. Clasificación por formato y proyección de funciones</w:t>
      </w:r>
    </w:p>
    <w:p w14:paraId="7F15C0AC" w14:textId="77777777" w:rsidR="00A7033C" w:rsidRDefault="00000000">
      <w:pPr>
        <w:spacing w:before="240" w:after="240"/>
        <w:jc w:val="both"/>
        <w:rPr>
          <w:rFonts w:ascii="Cambria" w:eastAsia="Cambria" w:hAnsi="Cambria" w:cs="Cambria"/>
          <w:sz w:val="24"/>
          <w:szCs w:val="24"/>
        </w:rPr>
      </w:pPr>
      <w:r>
        <w:rPr>
          <w:rFonts w:ascii="Cambria" w:eastAsia="Cambria" w:hAnsi="Cambria" w:cs="Cambria"/>
          <w:sz w:val="24"/>
          <w:szCs w:val="24"/>
        </w:rPr>
        <w:t xml:space="preserve">Las salas fueron clasificadas según su </w:t>
      </w:r>
      <w:r>
        <w:rPr>
          <w:rFonts w:ascii="Cambria" w:eastAsia="Cambria" w:hAnsi="Cambria" w:cs="Cambria"/>
          <w:b/>
          <w:sz w:val="24"/>
          <w:szCs w:val="24"/>
        </w:rPr>
        <w:t>tipo de formato escénico (gran, mediano o pequeño formato)</w:t>
      </w:r>
      <w:r>
        <w:rPr>
          <w:rFonts w:ascii="Cambria" w:eastAsia="Cambria" w:hAnsi="Cambria" w:cs="Cambria"/>
          <w:sz w:val="24"/>
          <w:szCs w:val="24"/>
        </w:rPr>
        <w:t>, atendiendo a criterios técnicos de montaje, condiciones de visibilidad y capacidad de público.</w:t>
      </w:r>
      <w:r>
        <w:rPr>
          <w:rFonts w:ascii="Cambria" w:eastAsia="Cambria" w:hAnsi="Cambria" w:cs="Cambria"/>
          <w:sz w:val="24"/>
          <w:szCs w:val="24"/>
        </w:rPr>
        <w:br/>
        <w:t xml:space="preserve">Con base en dicha clasificación se proyectó el </w:t>
      </w:r>
      <w:r>
        <w:rPr>
          <w:rFonts w:ascii="Cambria" w:eastAsia="Cambria" w:hAnsi="Cambria" w:cs="Cambria"/>
          <w:b/>
          <w:sz w:val="24"/>
          <w:szCs w:val="24"/>
        </w:rPr>
        <w:t>número total de funciones</w:t>
      </w:r>
      <w:r>
        <w:rPr>
          <w:rFonts w:ascii="Cambria" w:eastAsia="Cambria" w:hAnsi="Cambria" w:cs="Cambria"/>
          <w:sz w:val="24"/>
          <w:szCs w:val="24"/>
        </w:rPr>
        <w:t xml:space="preserve"> por tipo de formato y tipo de agrupación (internacional, nacional y distrital), permitiendo determinar el total de </w:t>
      </w:r>
      <w:r>
        <w:rPr>
          <w:rFonts w:ascii="Cambria" w:eastAsia="Cambria" w:hAnsi="Cambria" w:cs="Cambria"/>
          <w:b/>
          <w:sz w:val="24"/>
          <w:szCs w:val="24"/>
        </w:rPr>
        <w:t>funciones disponibles para venta de boletería</w:t>
      </w:r>
      <w:r>
        <w:rPr>
          <w:rFonts w:ascii="Cambria" w:eastAsia="Cambria" w:hAnsi="Cambria" w:cs="Cambria"/>
          <w:sz w:val="24"/>
          <w:szCs w:val="24"/>
        </w:rPr>
        <w:t>.</w:t>
      </w:r>
    </w:p>
    <w:p w14:paraId="008D81BF" w14:textId="77777777" w:rsidR="00A7033C" w:rsidRDefault="00000000">
      <w:pPr>
        <w:pStyle w:val="Ttulo4"/>
        <w:keepNext w:val="0"/>
        <w:keepLines w:val="0"/>
        <w:spacing w:before="240"/>
        <w:jc w:val="both"/>
        <w:rPr>
          <w:rFonts w:ascii="Cambria" w:eastAsia="Cambria" w:hAnsi="Cambria" w:cs="Cambria"/>
          <w:b/>
          <w:i w:val="0"/>
          <w:color w:val="000000"/>
          <w:sz w:val="24"/>
          <w:szCs w:val="24"/>
        </w:rPr>
      </w:pPr>
      <w:bookmarkStart w:id="2" w:name="_heading=h.h1nlu9o3wa2p" w:colFirst="0" w:colLast="0"/>
      <w:bookmarkEnd w:id="2"/>
      <w:r>
        <w:rPr>
          <w:rFonts w:ascii="Cambria" w:eastAsia="Cambria" w:hAnsi="Cambria" w:cs="Cambria"/>
          <w:b/>
          <w:i w:val="0"/>
          <w:color w:val="000000"/>
          <w:sz w:val="24"/>
          <w:szCs w:val="24"/>
        </w:rPr>
        <w:t>5.3. Cálculo de ingresos de boletería</w:t>
      </w:r>
    </w:p>
    <w:p w14:paraId="4FB72838" w14:textId="77777777" w:rsidR="00A7033C" w:rsidRDefault="00000000">
      <w:pPr>
        <w:spacing w:before="240" w:after="240"/>
        <w:jc w:val="both"/>
        <w:rPr>
          <w:rFonts w:ascii="Cambria" w:eastAsia="Cambria" w:hAnsi="Cambria" w:cs="Cambria"/>
          <w:sz w:val="24"/>
          <w:szCs w:val="24"/>
        </w:rPr>
      </w:pPr>
      <w:r>
        <w:rPr>
          <w:rFonts w:ascii="Cambria" w:eastAsia="Cambria" w:hAnsi="Cambria" w:cs="Cambria"/>
          <w:sz w:val="24"/>
          <w:szCs w:val="24"/>
        </w:rPr>
        <w:t xml:space="preserve">Para cada teatro se estimaron los </w:t>
      </w:r>
      <w:r>
        <w:rPr>
          <w:rFonts w:ascii="Cambria" w:eastAsia="Cambria" w:hAnsi="Cambria" w:cs="Cambria"/>
          <w:b/>
          <w:sz w:val="24"/>
          <w:szCs w:val="24"/>
        </w:rPr>
        <w:t>ingresos brutos de boletería</w:t>
      </w:r>
      <w:r>
        <w:rPr>
          <w:rFonts w:ascii="Cambria" w:eastAsia="Cambria" w:hAnsi="Cambria" w:cs="Cambria"/>
          <w:sz w:val="24"/>
          <w:szCs w:val="24"/>
        </w:rPr>
        <w:t xml:space="preserve"> considerando:</w:t>
      </w:r>
    </w:p>
    <w:p w14:paraId="408ED026" w14:textId="77777777" w:rsidR="00A7033C" w:rsidRDefault="00000000">
      <w:pPr>
        <w:numPr>
          <w:ilvl w:val="0"/>
          <w:numId w:val="3"/>
        </w:numPr>
        <w:spacing w:before="240" w:after="0"/>
        <w:jc w:val="both"/>
        <w:rPr>
          <w:rFonts w:ascii="Cambria" w:eastAsia="Cambria" w:hAnsi="Cambria" w:cs="Cambria"/>
          <w:sz w:val="24"/>
          <w:szCs w:val="24"/>
        </w:rPr>
      </w:pPr>
      <w:r>
        <w:rPr>
          <w:rFonts w:ascii="Cambria" w:eastAsia="Cambria" w:hAnsi="Cambria" w:cs="Cambria"/>
          <w:sz w:val="24"/>
          <w:szCs w:val="24"/>
        </w:rPr>
        <w:t>Aforo por sala y distribución de localidades.</w:t>
      </w:r>
      <w:r>
        <w:rPr>
          <w:rFonts w:ascii="Cambria" w:eastAsia="Cambria" w:hAnsi="Cambria" w:cs="Cambria"/>
          <w:sz w:val="24"/>
          <w:szCs w:val="24"/>
        </w:rPr>
        <w:br/>
      </w:r>
    </w:p>
    <w:p w14:paraId="41D42503" w14:textId="77777777" w:rsidR="00A7033C" w:rsidRDefault="00000000">
      <w:pPr>
        <w:numPr>
          <w:ilvl w:val="0"/>
          <w:numId w:val="3"/>
        </w:numPr>
        <w:spacing w:after="0"/>
        <w:jc w:val="both"/>
        <w:rPr>
          <w:rFonts w:ascii="Cambria" w:eastAsia="Cambria" w:hAnsi="Cambria" w:cs="Cambria"/>
          <w:sz w:val="24"/>
          <w:szCs w:val="24"/>
        </w:rPr>
      </w:pPr>
      <w:r>
        <w:rPr>
          <w:rFonts w:ascii="Cambria" w:eastAsia="Cambria" w:hAnsi="Cambria" w:cs="Cambria"/>
          <w:sz w:val="24"/>
          <w:szCs w:val="24"/>
        </w:rPr>
        <w:t>Precios sugeridos de boletería del festival para 2026, definidos por rangos según tipo de sala y formato.</w:t>
      </w:r>
      <w:r>
        <w:rPr>
          <w:rFonts w:ascii="Cambria" w:eastAsia="Cambria" w:hAnsi="Cambria" w:cs="Cambria"/>
          <w:sz w:val="24"/>
          <w:szCs w:val="24"/>
        </w:rPr>
        <w:br/>
      </w:r>
    </w:p>
    <w:p w14:paraId="029CAA74" w14:textId="77777777" w:rsidR="00A7033C" w:rsidRDefault="00000000">
      <w:pPr>
        <w:numPr>
          <w:ilvl w:val="0"/>
          <w:numId w:val="3"/>
        </w:numPr>
        <w:spacing w:after="240"/>
        <w:jc w:val="both"/>
        <w:rPr>
          <w:rFonts w:ascii="Cambria" w:eastAsia="Cambria" w:hAnsi="Cambria" w:cs="Cambria"/>
          <w:sz w:val="24"/>
          <w:szCs w:val="24"/>
        </w:rPr>
      </w:pPr>
      <w:r>
        <w:rPr>
          <w:rFonts w:ascii="Cambria" w:eastAsia="Cambria" w:hAnsi="Cambria" w:cs="Cambria"/>
          <w:sz w:val="24"/>
          <w:szCs w:val="24"/>
        </w:rPr>
        <w:t>Cantidad de funciones nacionales e internacionales proyectadas.</w:t>
      </w:r>
      <w:r>
        <w:rPr>
          <w:rFonts w:ascii="Cambria" w:eastAsia="Cambria" w:hAnsi="Cambria" w:cs="Cambria"/>
          <w:sz w:val="24"/>
          <w:szCs w:val="24"/>
        </w:rPr>
        <w:br/>
      </w:r>
    </w:p>
    <w:p w14:paraId="4F43C6C2" w14:textId="77777777" w:rsidR="00A7033C" w:rsidRDefault="00000000">
      <w:pPr>
        <w:pStyle w:val="Ttulo4"/>
        <w:keepNext w:val="0"/>
        <w:keepLines w:val="0"/>
        <w:spacing w:before="240"/>
        <w:jc w:val="both"/>
        <w:rPr>
          <w:rFonts w:ascii="Cambria" w:eastAsia="Cambria" w:hAnsi="Cambria" w:cs="Cambria"/>
          <w:b/>
          <w:i w:val="0"/>
          <w:color w:val="000000"/>
          <w:sz w:val="24"/>
          <w:szCs w:val="24"/>
        </w:rPr>
      </w:pPr>
      <w:bookmarkStart w:id="3" w:name="_heading=h.sr5ih65271pp" w:colFirst="0" w:colLast="0"/>
      <w:bookmarkEnd w:id="3"/>
      <w:r>
        <w:rPr>
          <w:rFonts w:ascii="Cambria" w:eastAsia="Cambria" w:hAnsi="Cambria" w:cs="Cambria"/>
          <w:b/>
          <w:i w:val="0"/>
          <w:color w:val="000000"/>
          <w:sz w:val="24"/>
          <w:szCs w:val="24"/>
        </w:rPr>
        <w:t xml:space="preserve">5.4. Aplicación de descuentos y proyección de ocupación </w:t>
      </w:r>
    </w:p>
    <w:p w14:paraId="762CD72B" w14:textId="77777777" w:rsidR="00A7033C" w:rsidRDefault="00000000">
      <w:pPr>
        <w:spacing w:before="240" w:after="240"/>
        <w:jc w:val="both"/>
        <w:rPr>
          <w:rFonts w:ascii="Cambria" w:eastAsia="Cambria" w:hAnsi="Cambria" w:cs="Cambria"/>
          <w:sz w:val="24"/>
          <w:szCs w:val="24"/>
        </w:rPr>
      </w:pPr>
      <w:r>
        <w:rPr>
          <w:rFonts w:ascii="Cambria" w:eastAsia="Cambria" w:hAnsi="Cambria" w:cs="Cambria"/>
          <w:sz w:val="24"/>
          <w:szCs w:val="24"/>
        </w:rPr>
        <w:t xml:space="preserve">De acuerdo con la experiencia de la primera versión del festival (2024), se mantuvo un </w:t>
      </w:r>
      <w:r>
        <w:rPr>
          <w:rFonts w:ascii="Cambria" w:eastAsia="Cambria" w:hAnsi="Cambria" w:cs="Cambria"/>
          <w:b/>
          <w:sz w:val="24"/>
          <w:szCs w:val="24"/>
        </w:rPr>
        <w:t>promedio de descuentos del 25%</w:t>
      </w:r>
      <w:r>
        <w:rPr>
          <w:rFonts w:ascii="Cambria" w:eastAsia="Cambria" w:hAnsi="Cambria" w:cs="Cambria"/>
          <w:sz w:val="24"/>
          <w:szCs w:val="24"/>
        </w:rPr>
        <w:t xml:space="preserve"> sobre el valor bruto de boletería, aplicable a las estrategias de promoción, convenios institucionales, abonos y descuentos especiales.</w:t>
      </w:r>
    </w:p>
    <w:p w14:paraId="31478389" w14:textId="77777777" w:rsidR="00A7033C" w:rsidRDefault="00000000">
      <w:pPr>
        <w:spacing w:before="240" w:after="240"/>
        <w:jc w:val="both"/>
        <w:rPr>
          <w:rFonts w:ascii="Cambria" w:eastAsia="Cambria" w:hAnsi="Cambria" w:cs="Cambria"/>
          <w:b/>
          <w:sz w:val="24"/>
          <w:szCs w:val="24"/>
        </w:rPr>
      </w:pPr>
      <w:r>
        <w:rPr>
          <w:rFonts w:ascii="Cambria" w:eastAsia="Cambria" w:hAnsi="Cambria" w:cs="Cambria"/>
          <w:b/>
          <w:sz w:val="24"/>
          <w:szCs w:val="24"/>
        </w:rPr>
        <w:t xml:space="preserve">5.5. Definición presupuesto oficial Invitación Pública Administrados de boletería. </w:t>
      </w:r>
    </w:p>
    <w:p w14:paraId="1F8DDC70" w14:textId="77777777" w:rsidR="00A7033C" w:rsidRDefault="00000000">
      <w:pPr>
        <w:spacing w:before="240" w:after="240"/>
        <w:jc w:val="both"/>
        <w:rPr>
          <w:rFonts w:ascii="Cambria" w:eastAsia="Cambria" w:hAnsi="Cambria" w:cs="Cambria"/>
          <w:sz w:val="24"/>
          <w:szCs w:val="24"/>
        </w:rPr>
      </w:pPr>
      <w:r>
        <w:rPr>
          <w:rFonts w:ascii="Cambria" w:eastAsia="Cambria" w:hAnsi="Cambria" w:cs="Cambria"/>
          <w:sz w:val="24"/>
          <w:szCs w:val="24"/>
        </w:rPr>
        <w:t>Con el propósito de determinar el presupuesto oficial para la apertura de la Invitación Pública orientada a la selección del Administrador de Boletería del FIAV 2026, se realizaron proyecciones financieras bajo dos escenarios de ocupación real, con el fin de estimar los posibles ingresos por venta de boletería y establecer una base presupuestal acorde con las condiciones del festival.</w:t>
      </w:r>
    </w:p>
    <w:p w14:paraId="204E7AF9" w14:textId="77777777" w:rsidR="00A7033C" w:rsidRDefault="00000000">
      <w:pPr>
        <w:spacing w:before="240" w:after="240"/>
        <w:jc w:val="both"/>
        <w:rPr>
          <w:rFonts w:ascii="Cambria" w:eastAsia="Cambria" w:hAnsi="Cambria" w:cs="Cambria"/>
          <w:sz w:val="24"/>
          <w:szCs w:val="24"/>
        </w:rPr>
      </w:pPr>
      <w:r>
        <w:rPr>
          <w:rFonts w:ascii="Cambria" w:eastAsia="Cambria" w:hAnsi="Cambria" w:cs="Cambria"/>
          <w:sz w:val="24"/>
          <w:szCs w:val="24"/>
        </w:rPr>
        <w:t>Los escenarios considerados fueron los siguientes:</w:t>
      </w:r>
    </w:p>
    <w:p w14:paraId="7DD06477" w14:textId="77777777" w:rsidR="00A7033C" w:rsidRDefault="00000000">
      <w:pPr>
        <w:numPr>
          <w:ilvl w:val="0"/>
          <w:numId w:val="2"/>
        </w:numPr>
        <w:spacing w:before="240" w:after="0"/>
        <w:rPr>
          <w:rFonts w:ascii="Cambria" w:eastAsia="Cambria" w:hAnsi="Cambria" w:cs="Cambria"/>
          <w:sz w:val="24"/>
          <w:szCs w:val="24"/>
        </w:rPr>
      </w:pPr>
      <w:r>
        <w:rPr>
          <w:rFonts w:ascii="Cambria" w:eastAsia="Cambria" w:hAnsi="Cambria" w:cs="Cambria"/>
          <w:b/>
          <w:sz w:val="24"/>
          <w:szCs w:val="24"/>
        </w:rPr>
        <w:lastRenderedPageBreak/>
        <w:t>Escenario 1:</w:t>
      </w:r>
      <w:r>
        <w:rPr>
          <w:rFonts w:ascii="Cambria" w:eastAsia="Cambria" w:hAnsi="Cambria" w:cs="Cambria"/>
          <w:sz w:val="24"/>
          <w:szCs w:val="24"/>
        </w:rPr>
        <w:t xml:space="preserve"> 50% de ocupación real.</w:t>
      </w:r>
      <w:r>
        <w:rPr>
          <w:rFonts w:ascii="Cambria" w:eastAsia="Cambria" w:hAnsi="Cambria" w:cs="Cambria"/>
          <w:sz w:val="24"/>
          <w:szCs w:val="24"/>
        </w:rPr>
        <w:br/>
      </w:r>
    </w:p>
    <w:p w14:paraId="3EAB2A68" w14:textId="77777777" w:rsidR="00A7033C" w:rsidRDefault="00000000">
      <w:pPr>
        <w:numPr>
          <w:ilvl w:val="0"/>
          <w:numId w:val="2"/>
        </w:numPr>
        <w:spacing w:after="240"/>
        <w:rPr>
          <w:rFonts w:ascii="Cambria" w:eastAsia="Cambria" w:hAnsi="Cambria" w:cs="Cambria"/>
          <w:sz w:val="24"/>
          <w:szCs w:val="24"/>
        </w:rPr>
      </w:pPr>
      <w:r>
        <w:rPr>
          <w:rFonts w:ascii="Cambria" w:eastAsia="Cambria" w:hAnsi="Cambria" w:cs="Cambria"/>
          <w:b/>
          <w:sz w:val="24"/>
          <w:szCs w:val="24"/>
        </w:rPr>
        <w:t>Escenario 2:</w:t>
      </w:r>
      <w:r>
        <w:rPr>
          <w:rFonts w:ascii="Cambria" w:eastAsia="Cambria" w:hAnsi="Cambria" w:cs="Cambria"/>
          <w:sz w:val="24"/>
          <w:szCs w:val="24"/>
        </w:rPr>
        <w:t xml:space="preserve"> 60% de ocupación real.</w:t>
      </w:r>
      <w:r>
        <w:rPr>
          <w:rFonts w:ascii="Cambria" w:eastAsia="Cambria" w:hAnsi="Cambria" w:cs="Cambria"/>
          <w:sz w:val="24"/>
          <w:szCs w:val="24"/>
        </w:rPr>
        <w:br/>
      </w:r>
    </w:p>
    <w:p w14:paraId="4786B751" w14:textId="77777777" w:rsidR="00A7033C" w:rsidRDefault="00000000">
      <w:pPr>
        <w:spacing w:before="240" w:after="240"/>
        <w:jc w:val="both"/>
        <w:rPr>
          <w:rFonts w:ascii="Cambria" w:eastAsia="Cambria" w:hAnsi="Cambria" w:cs="Cambria"/>
          <w:sz w:val="24"/>
          <w:szCs w:val="24"/>
        </w:rPr>
      </w:pPr>
      <w:r>
        <w:rPr>
          <w:rFonts w:ascii="Cambria" w:eastAsia="Cambria" w:hAnsi="Cambria" w:cs="Cambria"/>
          <w:sz w:val="24"/>
          <w:szCs w:val="24"/>
        </w:rPr>
        <w:t>Con base en estos parámetros, se obtuvieron los siguientes resultados financieros:</w:t>
      </w:r>
    </w:p>
    <w:p w14:paraId="1633689C" w14:textId="77777777" w:rsidR="00A7033C" w:rsidRDefault="00000000">
      <w:pPr>
        <w:spacing w:before="240" w:after="240"/>
        <w:jc w:val="both"/>
        <w:rPr>
          <w:rFonts w:ascii="Cambria" w:eastAsia="Cambria" w:hAnsi="Cambria" w:cs="Cambria"/>
          <w:sz w:val="24"/>
          <w:szCs w:val="24"/>
        </w:rPr>
      </w:pPr>
      <w:r>
        <w:rPr>
          <w:rFonts w:ascii="Cambria" w:eastAsia="Cambria" w:hAnsi="Cambria" w:cs="Cambria"/>
          <w:b/>
          <w:sz w:val="24"/>
          <w:szCs w:val="24"/>
        </w:rPr>
        <w:t>CUADRO RESUMEN</w:t>
      </w:r>
    </w:p>
    <w:sdt>
      <w:sdtPr>
        <w:tag w:val="goog_rdk_35"/>
        <w:id w:val="433227989"/>
        <w:lock w:val="contentLocked"/>
      </w:sdtPr>
      <w:sdtContent>
        <w:tbl>
          <w:tblPr>
            <w:tblStyle w:val="a0"/>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15"/>
            <w:gridCol w:w="1230"/>
            <w:gridCol w:w="1755"/>
            <w:gridCol w:w="1560"/>
            <w:gridCol w:w="1575"/>
          </w:tblGrid>
          <w:tr w:rsidR="00A7033C" w14:paraId="57F4269B" w14:textId="77777777">
            <w:trPr>
              <w:trHeight w:val="855"/>
            </w:trPr>
            <w:sdt>
              <w:sdtPr>
                <w:tag w:val="goog_rdk_0"/>
                <w:id w:val="472858966"/>
                <w:lock w:val="contentLocked"/>
              </w:sdtPr>
              <w:sdtContent>
                <w:tc>
                  <w:tcPr>
                    <w:tcW w:w="271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D40D567" w14:textId="77777777" w:rsidR="00A7033C" w:rsidRDefault="00000000">
                    <w:pPr>
                      <w:spacing w:after="0" w:line="240" w:lineRule="auto"/>
                    </w:pPr>
                    <w:r>
                      <w:t>CUADRO RESUMEN</w:t>
                    </w:r>
                  </w:p>
                </w:tc>
              </w:sdtContent>
            </w:sdt>
            <w:sdt>
              <w:sdtPr>
                <w:tag w:val="goog_rdk_1"/>
                <w:id w:val="-1411181243"/>
                <w:lock w:val="contentLocked"/>
              </w:sdtPr>
              <w:sdtContent>
                <w:tc>
                  <w:tcPr>
                    <w:tcW w:w="1230"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vAlign w:val="center"/>
                  </w:tcPr>
                  <w:p w14:paraId="4B47BB1E" w14:textId="77777777" w:rsidR="00A7033C" w:rsidRDefault="00000000">
                    <w:pPr>
                      <w:spacing w:after="0" w:line="240" w:lineRule="auto"/>
                    </w:pPr>
                    <w:r>
                      <w:t>% Ocupación Real</w:t>
                    </w:r>
                  </w:p>
                </w:tc>
              </w:sdtContent>
            </w:sdt>
            <w:sdt>
              <w:sdtPr>
                <w:tag w:val="goog_rdk_2"/>
                <w:id w:val="1503646047"/>
                <w:lock w:val="contentLocked"/>
              </w:sdtPr>
              <w:sdtContent>
                <w:tc>
                  <w:tcPr>
                    <w:tcW w:w="1755"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vAlign w:val="center"/>
                  </w:tcPr>
                  <w:p w14:paraId="19E23A8D" w14:textId="77777777" w:rsidR="00A7033C" w:rsidRDefault="00000000">
                    <w:pPr>
                      <w:spacing w:after="0" w:line="240" w:lineRule="auto"/>
                    </w:pPr>
                    <w:r>
                      <w:t>Total Ingresos Brutos</w:t>
                    </w:r>
                  </w:p>
                </w:tc>
              </w:sdtContent>
            </w:sdt>
            <w:sdt>
              <w:sdtPr>
                <w:tag w:val="goog_rdk_3"/>
                <w:id w:val="-835913463"/>
                <w:lock w:val="contentLocked"/>
              </w:sdtPr>
              <w:sdtContent>
                <w:tc>
                  <w:tcPr>
                    <w:tcW w:w="1560"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vAlign w:val="center"/>
                  </w:tcPr>
                  <w:p w14:paraId="16ED0619" w14:textId="77777777" w:rsidR="00A7033C" w:rsidRDefault="00000000">
                    <w:pPr>
                      <w:spacing w:after="0" w:line="240" w:lineRule="auto"/>
                    </w:pPr>
                    <w:r>
                      <w:t>Descuentos Estimados en precios de boletería</w:t>
                    </w:r>
                  </w:p>
                </w:tc>
              </w:sdtContent>
            </w:sdt>
            <w:sdt>
              <w:sdtPr>
                <w:tag w:val="goog_rdk_4"/>
                <w:id w:val="-878287725"/>
                <w:lock w:val="contentLocked"/>
              </w:sdtPr>
              <w:sdtContent>
                <w:tc>
                  <w:tcPr>
                    <w:tcW w:w="1575"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vAlign w:val="center"/>
                  </w:tcPr>
                  <w:p w14:paraId="1E0F9C84" w14:textId="77777777" w:rsidR="00A7033C" w:rsidRDefault="00000000">
                    <w:pPr>
                      <w:spacing w:after="0" w:line="240" w:lineRule="auto"/>
                    </w:pPr>
                    <w:r>
                      <w:t>Total Ingresos Boletería</w:t>
                    </w:r>
                  </w:p>
                </w:tc>
              </w:sdtContent>
            </w:sdt>
          </w:tr>
          <w:tr w:rsidR="00A7033C" w14:paraId="6B3C6A2D" w14:textId="77777777">
            <w:trPr>
              <w:trHeight w:val="315"/>
            </w:trPr>
            <w:sdt>
              <w:sdtPr>
                <w:tag w:val="goog_rdk_5"/>
                <w:id w:val="-1118165889"/>
                <w:lock w:val="contentLocked"/>
              </w:sdtPr>
              <w:sdtContent>
                <w:tc>
                  <w:tcPr>
                    <w:tcW w:w="271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14:paraId="4C79DA0E" w14:textId="77777777" w:rsidR="00A7033C" w:rsidRDefault="00000000">
                    <w:pPr>
                      <w:spacing w:after="0" w:line="240" w:lineRule="auto"/>
                    </w:pPr>
                    <w:r>
                      <w:t>ESCENARIO 1 - INTERNACIONAL</w:t>
                    </w:r>
                  </w:p>
                </w:tc>
              </w:sdtContent>
            </w:sdt>
            <w:sdt>
              <w:sdtPr>
                <w:tag w:val="goog_rdk_6"/>
                <w:id w:val="1853176322"/>
                <w:lock w:val="contentLocked"/>
              </w:sdtPr>
              <w:sdtContent>
                <w:tc>
                  <w:tcPr>
                    <w:tcW w:w="1230"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14:paraId="79AF2B71" w14:textId="77777777" w:rsidR="00A7033C" w:rsidRDefault="00000000">
                    <w:pPr>
                      <w:spacing w:after="0" w:line="240" w:lineRule="auto"/>
                    </w:pPr>
                    <w:r>
                      <w:t>50%</w:t>
                    </w:r>
                  </w:p>
                </w:tc>
              </w:sdtContent>
            </w:sdt>
            <w:sdt>
              <w:sdtPr>
                <w:tag w:val="goog_rdk_7"/>
                <w:id w:val="204466788"/>
                <w:lock w:val="contentLocked"/>
              </w:sdtPr>
              <w:sdtContent>
                <w:tc>
                  <w:tcPr>
                    <w:tcW w:w="1755"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14:paraId="50227E84" w14:textId="77777777" w:rsidR="00A7033C" w:rsidRDefault="00000000">
                    <w:pPr>
                      <w:spacing w:after="0" w:line="240" w:lineRule="auto"/>
                    </w:pPr>
                    <w:r>
                      <w:t>$ 1,890,845,000</w:t>
                    </w:r>
                  </w:p>
                </w:tc>
              </w:sdtContent>
            </w:sdt>
            <w:sdt>
              <w:sdtPr>
                <w:tag w:val="goog_rdk_8"/>
                <w:id w:val="782648565"/>
                <w:lock w:val="contentLocked"/>
              </w:sdtPr>
              <w:sdtContent>
                <w:tc>
                  <w:tcPr>
                    <w:tcW w:w="1560"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14:paraId="565C8084" w14:textId="77777777" w:rsidR="00A7033C" w:rsidRDefault="00000000">
                    <w:pPr>
                      <w:spacing w:after="0" w:line="240" w:lineRule="auto"/>
                    </w:pPr>
                    <w:r>
                      <w:t>$ 472,711,250</w:t>
                    </w:r>
                  </w:p>
                </w:tc>
              </w:sdtContent>
            </w:sdt>
            <w:sdt>
              <w:sdtPr>
                <w:tag w:val="goog_rdk_9"/>
                <w:id w:val="182225024"/>
                <w:lock w:val="contentLocked"/>
              </w:sdtPr>
              <w:sdtContent>
                <w:tc>
                  <w:tcPr>
                    <w:tcW w:w="1575"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14:paraId="35BB3DBE" w14:textId="77777777" w:rsidR="00A7033C" w:rsidRDefault="00000000">
                    <w:pPr>
                      <w:spacing w:after="0" w:line="240" w:lineRule="auto"/>
                    </w:pPr>
                    <w:r>
                      <w:t>$ 1,418,133,750</w:t>
                    </w:r>
                  </w:p>
                </w:tc>
              </w:sdtContent>
            </w:sdt>
          </w:tr>
          <w:tr w:rsidR="00A7033C" w14:paraId="55503B1D" w14:textId="77777777">
            <w:trPr>
              <w:trHeight w:val="315"/>
            </w:trPr>
            <w:sdt>
              <w:sdtPr>
                <w:tag w:val="goog_rdk_10"/>
                <w:id w:val="665207106"/>
                <w:lock w:val="contentLocked"/>
              </w:sdtPr>
              <w:sdtContent>
                <w:tc>
                  <w:tcPr>
                    <w:tcW w:w="271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14:paraId="07C23D7B" w14:textId="77777777" w:rsidR="00A7033C" w:rsidRDefault="00000000">
                    <w:pPr>
                      <w:spacing w:after="0" w:line="240" w:lineRule="auto"/>
                    </w:pPr>
                    <w:r>
                      <w:t>ESCENARIO 1 - NACIONAL</w:t>
                    </w:r>
                  </w:p>
                </w:tc>
              </w:sdtContent>
            </w:sdt>
            <w:sdt>
              <w:sdtPr>
                <w:tag w:val="goog_rdk_11"/>
                <w:id w:val="356387689"/>
                <w:lock w:val="contentLocked"/>
              </w:sdtPr>
              <w:sdtContent>
                <w:tc>
                  <w:tcPr>
                    <w:tcW w:w="1230"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14:paraId="41BD5859" w14:textId="77777777" w:rsidR="00A7033C" w:rsidRDefault="00000000">
                    <w:pPr>
                      <w:spacing w:after="0" w:line="240" w:lineRule="auto"/>
                    </w:pPr>
                    <w:r>
                      <w:t>50%</w:t>
                    </w:r>
                  </w:p>
                </w:tc>
              </w:sdtContent>
            </w:sdt>
            <w:sdt>
              <w:sdtPr>
                <w:tag w:val="goog_rdk_12"/>
                <w:id w:val="1159775892"/>
                <w:lock w:val="contentLocked"/>
              </w:sdtPr>
              <w:sdtContent>
                <w:tc>
                  <w:tcPr>
                    <w:tcW w:w="1755"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14:paraId="17F31ECF" w14:textId="77777777" w:rsidR="00A7033C" w:rsidRDefault="00000000">
                    <w:pPr>
                      <w:spacing w:after="0" w:line="240" w:lineRule="auto"/>
                    </w:pPr>
                    <w:r>
                      <w:t>$ 769,250,000</w:t>
                    </w:r>
                  </w:p>
                </w:tc>
              </w:sdtContent>
            </w:sdt>
            <w:sdt>
              <w:sdtPr>
                <w:tag w:val="goog_rdk_13"/>
                <w:id w:val="1582715672"/>
                <w:lock w:val="contentLocked"/>
              </w:sdtPr>
              <w:sdtContent>
                <w:tc>
                  <w:tcPr>
                    <w:tcW w:w="1560"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14:paraId="64F1A1D2" w14:textId="77777777" w:rsidR="00A7033C" w:rsidRDefault="00000000">
                    <w:pPr>
                      <w:spacing w:after="0" w:line="240" w:lineRule="auto"/>
                    </w:pPr>
                    <w:r>
                      <w:t>$ 192,312,500</w:t>
                    </w:r>
                  </w:p>
                </w:tc>
              </w:sdtContent>
            </w:sdt>
            <w:sdt>
              <w:sdtPr>
                <w:tag w:val="goog_rdk_14"/>
                <w:id w:val="-1755663469"/>
                <w:lock w:val="contentLocked"/>
              </w:sdtPr>
              <w:sdtContent>
                <w:tc>
                  <w:tcPr>
                    <w:tcW w:w="1575"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14:paraId="24D9DF17" w14:textId="77777777" w:rsidR="00A7033C" w:rsidRDefault="00000000">
                    <w:pPr>
                      <w:spacing w:after="0" w:line="240" w:lineRule="auto"/>
                    </w:pPr>
                    <w:r>
                      <w:t>$ 576,937,500</w:t>
                    </w:r>
                  </w:p>
                </w:tc>
              </w:sdtContent>
            </w:sdt>
          </w:tr>
          <w:tr w:rsidR="00A7033C" w14:paraId="22B5372B" w14:textId="77777777">
            <w:trPr>
              <w:trHeight w:val="315"/>
            </w:trPr>
            <w:sdt>
              <w:sdtPr>
                <w:tag w:val="goog_rdk_15"/>
                <w:id w:val="-953007005"/>
                <w:lock w:val="contentLocked"/>
              </w:sdtPr>
              <w:sdtContent>
                <w:tc>
                  <w:tcPr>
                    <w:tcW w:w="271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14:paraId="01F8A580" w14:textId="77777777" w:rsidR="00A7033C" w:rsidRDefault="00000000">
                    <w:pPr>
                      <w:spacing w:after="0" w:line="240" w:lineRule="auto"/>
                    </w:pPr>
                    <w:r>
                      <w:t>TOTAL ESCENARIO 1</w:t>
                    </w:r>
                  </w:p>
                </w:tc>
              </w:sdtContent>
            </w:sdt>
            <w:sdt>
              <w:sdtPr>
                <w:tag w:val="goog_rdk_16"/>
                <w:id w:val="-245718898"/>
                <w:lock w:val="contentLocked"/>
              </w:sdtPr>
              <w:sdtContent>
                <w:tc>
                  <w:tcPr>
                    <w:tcW w:w="1230"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14:paraId="3AF1CA6F" w14:textId="77777777" w:rsidR="00A7033C" w:rsidRDefault="00000000">
                    <w:pPr>
                      <w:spacing w:after="0" w:line="240" w:lineRule="auto"/>
                    </w:pPr>
                    <w:r>
                      <w:t>50%</w:t>
                    </w:r>
                  </w:p>
                </w:tc>
              </w:sdtContent>
            </w:sdt>
            <w:sdt>
              <w:sdtPr>
                <w:tag w:val="goog_rdk_17"/>
                <w:id w:val="-546938361"/>
                <w:lock w:val="contentLocked"/>
              </w:sdtPr>
              <w:sdtContent>
                <w:tc>
                  <w:tcPr>
                    <w:tcW w:w="1755"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14:paraId="68EFE13C" w14:textId="77777777" w:rsidR="00A7033C" w:rsidRDefault="00000000">
                    <w:pPr>
                      <w:spacing w:after="0" w:line="240" w:lineRule="auto"/>
                    </w:pPr>
                    <w:r>
                      <w:t>$ 2,660,095,000</w:t>
                    </w:r>
                  </w:p>
                </w:tc>
              </w:sdtContent>
            </w:sdt>
            <w:sdt>
              <w:sdtPr>
                <w:tag w:val="goog_rdk_18"/>
                <w:id w:val="60110273"/>
                <w:lock w:val="contentLocked"/>
              </w:sdtPr>
              <w:sdtContent>
                <w:tc>
                  <w:tcPr>
                    <w:tcW w:w="1560"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14:paraId="55A0B4A1" w14:textId="77777777" w:rsidR="00A7033C" w:rsidRDefault="00000000">
                    <w:pPr>
                      <w:spacing w:after="0" w:line="240" w:lineRule="auto"/>
                    </w:pPr>
                    <w:r>
                      <w:t>$ 665,023,750</w:t>
                    </w:r>
                  </w:p>
                </w:tc>
              </w:sdtContent>
            </w:sdt>
            <w:sdt>
              <w:sdtPr>
                <w:tag w:val="goog_rdk_19"/>
                <w:id w:val="1990416984"/>
                <w:lock w:val="contentLocked"/>
              </w:sdtPr>
              <w:sdtContent>
                <w:tc>
                  <w:tcPr>
                    <w:tcW w:w="1575"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14:paraId="113E6BAB" w14:textId="77777777" w:rsidR="00A7033C" w:rsidRDefault="00000000">
                    <w:pPr>
                      <w:spacing w:after="0" w:line="240" w:lineRule="auto"/>
                    </w:pPr>
                    <w:r>
                      <w:t>$ 1,995,071,250</w:t>
                    </w:r>
                  </w:p>
                </w:tc>
              </w:sdtContent>
            </w:sdt>
          </w:tr>
          <w:tr w:rsidR="00A7033C" w14:paraId="5210129C" w14:textId="77777777">
            <w:trPr>
              <w:trHeight w:val="315"/>
            </w:trPr>
            <w:sdt>
              <w:sdtPr>
                <w:tag w:val="goog_rdk_20"/>
                <w:id w:val="13470906"/>
                <w:lock w:val="contentLocked"/>
              </w:sdtPr>
              <w:sdtContent>
                <w:tc>
                  <w:tcPr>
                    <w:tcW w:w="271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14:paraId="1D12415E" w14:textId="77777777" w:rsidR="00A7033C" w:rsidRDefault="00000000">
                    <w:pPr>
                      <w:spacing w:after="0" w:line="240" w:lineRule="auto"/>
                    </w:pPr>
                    <w:r>
                      <w:t>ESCENARIO 2 - INTERNACIONAL</w:t>
                    </w:r>
                  </w:p>
                </w:tc>
              </w:sdtContent>
            </w:sdt>
            <w:sdt>
              <w:sdtPr>
                <w:tag w:val="goog_rdk_21"/>
                <w:id w:val="-1106688725"/>
                <w:lock w:val="contentLocked"/>
              </w:sdtPr>
              <w:sdtContent>
                <w:tc>
                  <w:tcPr>
                    <w:tcW w:w="1230"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14:paraId="60627755" w14:textId="77777777" w:rsidR="00A7033C" w:rsidRDefault="00000000">
                    <w:pPr>
                      <w:spacing w:after="0" w:line="240" w:lineRule="auto"/>
                    </w:pPr>
                    <w:r>
                      <w:t>60%</w:t>
                    </w:r>
                  </w:p>
                </w:tc>
              </w:sdtContent>
            </w:sdt>
            <w:sdt>
              <w:sdtPr>
                <w:tag w:val="goog_rdk_22"/>
                <w:id w:val="1127743152"/>
                <w:lock w:val="contentLocked"/>
              </w:sdtPr>
              <w:sdtContent>
                <w:tc>
                  <w:tcPr>
                    <w:tcW w:w="1755"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14:paraId="3C88DCF5" w14:textId="77777777" w:rsidR="00A7033C" w:rsidRDefault="00000000">
                    <w:pPr>
                      <w:spacing w:after="0" w:line="240" w:lineRule="auto"/>
                    </w:pPr>
                    <w:r>
                      <w:t>$ 2,269,014,000</w:t>
                    </w:r>
                  </w:p>
                </w:tc>
              </w:sdtContent>
            </w:sdt>
            <w:sdt>
              <w:sdtPr>
                <w:tag w:val="goog_rdk_23"/>
                <w:id w:val="1963498719"/>
                <w:lock w:val="contentLocked"/>
              </w:sdtPr>
              <w:sdtContent>
                <w:tc>
                  <w:tcPr>
                    <w:tcW w:w="1560"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14:paraId="69917E1D" w14:textId="77777777" w:rsidR="00A7033C" w:rsidRDefault="00000000">
                    <w:pPr>
                      <w:spacing w:after="0" w:line="240" w:lineRule="auto"/>
                    </w:pPr>
                    <w:r>
                      <w:t>$ 567,253,500</w:t>
                    </w:r>
                  </w:p>
                </w:tc>
              </w:sdtContent>
            </w:sdt>
            <w:sdt>
              <w:sdtPr>
                <w:tag w:val="goog_rdk_24"/>
                <w:id w:val="1341130804"/>
                <w:lock w:val="contentLocked"/>
              </w:sdtPr>
              <w:sdtContent>
                <w:tc>
                  <w:tcPr>
                    <w:tcW w:w="1575"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14:paraId="0DA019F2" w14:textId="77777777" w:rsidR="00A7033C" w:rsidRDefault="00000000">
                    <w:pPr>
                      <w:spacing w:after="0" w:line="240" w:lineRule="auto"/>
                    </w:pPr>
                    <w:r>
                      <w:t>$ 1,701,760,500</w:t>
                    </w:r>
                  </w:p>
                </w:tc>
              </w:sdtContent>
            </w:sdt>
          </w:tr>
          <w:tr w:rsidR="00A7033C" w14:paraId="41298A93" w14:textId="77777777">
            <w:trPr>
              <w:trHeight w:val="315"/>
            </w:trPr>
            <w:sdt>
              <w:sdtPr>
                <w:tag w:val="goog_rdk_25"/>
                <w:id w:val="-586403171"/>
                <w:lock w:val="contentLocked"/>
              </w:sdtPr>
              <w:sdtContent>
                <w:tc>
                  <w:tcPr>
                    <w:tcW w:w="271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14:paraId="4DA6BF44" w14:textId="77777777" w:rsidR="00A7033C" w:rsidRDefault="00000000">
                    <w:pPr>
                      <w:spacing w:after="0" w:line="240" w:lineRule="auto"/>
                    </w:pPr>
                    <w:r>
                      <w:t>ESCENARIO 2 - NACIONAL</w:t>
                    </w:r>
                  </w:p>
                </w:tc>
              </w:sdtContent>
            </w:sdt>
            <w:sdt>
              <w:sdtPr>
                <w:tag w:val="goog_rdk_26"/>
                <w:id w:val="-726130888"/>
                <w:lock w:val="contentLocked"/>
              </w:sdtPr>
              <w:sdtContent>
                <w:tc>
                  <w:tcPr>
                    <w:tcW w:w="1230"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14:paraId="11047051" w14:textId="77777777" w:rsidR="00A7033C" w:rsidRDefault="00000000">
                    <w:pPr>
                      <w:spacing w:after="0" w:line="240" w:lineRule="auto"/>
                    </w:pPr>
                    <w:r>
                      <w:t>60%</w:t>
                    </w:r>
                  </w:p>
                </w:tc>
              </w:sdtContent>
            </w:sdt>
            <w:sdt>
              <w:sdtPr>
                <w:tag w:val="goog_rdk_27"/>
                <w:id w:val="-1860722051"/>
                <w:lock w:val="contentLocked"/>
              </w:sdtPr>
              <w:sdtContent>
                <w:tc>
                  <w:tcPr>
                    <w:tcW w:w="1755"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14:paraId="72559A61" w14:textId="77777777" w:rsidR="00A7033C" w:rsidRDefault="00000000">
                    <w:pPr>
                      <w:spacing w:after="0" w:line="240" w:lineRule="auto"/>
                    </w:pPr>
                    <w:r>
                      <w:t>$ 923,100,000</w:t>
                    </w:r>
                  </w:p>
                </w:tc>
              </w:sdtContent>
            </w:sdt>
            <w:sdt>
              <w:sdtPr>
                <w:tag w:val="goog_rdk_28"/>
                <w:id w:val="-905665161"/>
                <w:lock w:val="contentLocked"/>
              </w:sdtPr>
              <w:sdtContent>
                <w:tc>
                  <w:tcPr>
                    <w:tcW w:w="1560"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14:paraId="59107BF7" w14:textId="77777777" w:rsidR="00A7033C" w:rsidRDefault="00000000">
                    <w:pPr>
                      <w:spacing w:after="0" w:line="240" w:lineRule="auto"/>
                    </w:pPr>
                    <w:r>
                      <w:t>$ 230,775,000</w:t>
                    </w:r>
                  </w:p>
                </w:tc>
              </w:sdtContent>
            </w:sdt>
            <w:sdt>
              <w:sdtPr>
                <w:tag w:val="goog_rdk_29"/>
                <w:id w:val="121244666"/>
                <w:lock w:val="contentLocked"/>
              </w:sdtPr>
              <w:sdtContent>
                <w:tc>
                  <w:tcPr>
                    <w:tcW w:w="1575"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14:paraId="68708EF7" w14:textId="77777777" w:rsidR="00A7033C" w:rsidRDefault="00000000">
                    <w:pPr>
                      <w:spacing w:after="0" w:line="240" w:lineRule="auto"/>
                    </w:pPr>
                    <w:r>
                      <w:t>$ 692,325,000</w:t>
                    </w:r>
                  </w:p>
                </w:tc>
              </w:sdtContent>
            </w:sdt>
          </w:tr>
          <w:tr w:rsidR="00A7033C" w14:paraId="21C8CAD1" w14:textId="77777777">
            <w:trPr>
              <w:trHeight w:val="315"/>
            </w:trPr>
            <w:sdt>
              <w:sdtPr>
                <w:tag w:val="goog_rdk_30"/>
                <w:id w:val="532765076"/>
                <w:lock w:val="contentLocked"/>
              </w:sdtPr>
              <w:sdtContent>
                <w:tc>
                  <w:tcPr>
                    <w:tcW w:w="271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14:paraId="71B5F201" w14:textId="77777777" w:rsidR="00A7033C" w:rsidRDefault="00000000">
                    <w:pPr>
                      <w:spacing w:after="0" w:line="240" w:lineRule="auto"/>
                    </w:pPr>
                    <w:r>
                      <w:t>TOTAL ESCENARIO 2</w:t>
                    </w:r>
                  </w:p>
                </w:tc>
              </w:sdtContent>
            </w:sdt>
            <w:sdt>
              <w:sdtPr>
                <w:tag w:val="goog_rdk_31"/>
                <w:id w:val="-1720904813"/>
                <w:lock w:val="contentLocked"/>
              </w:sdtPr>
              <w:sdtContent>
                <w:tc>
                  <w:tcPr>
                    <w:tcW w:w="1230"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14:paraId="6C1210F0" w14:textId="77777777" w:rsidR="00A7033C" w:rsidRDefault="00000000">
                    <w:pPr>
                      <w:spacing w:after="0" w:line="240" w:lineRule="auto"/>
                    </w:pPr>
                    <w:r>
                      <w:t>60%</w:t>
                    </w:r>
                  </w:p>
                </w:tc>
              </w:sdtContent>
            </w:sdt>
            <w:sdt>
              <w:sdtPr>
                <w:tag w:val="goog_rdk_32"/>
                <w:id w:val="1213393430"/>
                <w:lock w:val="contentLocked"/>
              </w:sdtPr>
              <w:sdtContent>
                <w:tc>
                  <w:tcPr>
                    <w:tcW w:w="1755"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14:paraId="0C20BBB4" w14:textId="77777777" w:rsidR="00A7033C" w:rsidRDefault="00000000">
                    <w:pPr>
                      <w:spacing w:after="0" w:line="240" w:lineRule="auto"/>
                    </w:pPr>
                    <w:r>
                      <w:t>$ 3,192,114,000</w:t>
                    </w:r>
                  </w:p>
                </w:tc>
              </w:sdtContent>
            </w:sdt>
            <w:sdt>
              <w:sdtPr>
                <w:tag w:val="goog_rdk_33"/>
                <w:id w:val="-428576688"/>
                <w:lock w:val="contentLocked"/>
              </w:sdtPr>
              <w:sdtContent>
                <w:tc>
                  <w:tcPr>
                    <w:tcW w:w="1560"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14:paraId="5ECDAD40" w14:textId="77777777" w:rsidR="00A7033C" w:rsidRDefault="00000000">
                    <w:pPr>
                      <w:spacing w:after="0" w:line="240" w:lineRule="auto"/>
                    </w:pPr>
                    <w:r>
                      <w:t>$ 798,028,500</w:t>
                    </w:r>
                  </w:p>
                </w:tc>
              </w:sdtContent>
            </w:sdt>
            <w:sdt>
              <w:sdtPr>
                <w:tag w:val="goog_rdk_34"/>
                <w:id w:val="2035059836"/>
                <w:lock w:val="contentLocked"/>
              </w:sdtPr>
              <w:sdtContent>
                <w:tc>
                  <w:tcPr>
                    <w:tcW w:w="1575"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14:paraId="137C4752" w14:textId="77777777" w:rsidR="00A7033C" w:rsidRDefault="00000000">
                    <w:pPr>
                      <w:spacing w:after="0" w:line="240" w:lineRule="auto"/>
                    </w:pPr>
                    <w:r>
                      <w:t>$ 2,394,085,500</w:t>
                    </w:r>
                  </w:p>
                </w:tc>
              </w:sdtContent>
            </w:sdt>
          </w:tr>
        </w:tbl>
      </w:sdtContent>
    </w:sdt>
    <w:p w14:paraId="2F1965FB" w14:textId="77777777" w:rsidR="00A7033C" w:rsidRDefault="00A7033C">
      <w:pPr>
        <w:jc w:val="both"/>
        <w:rPr>
          <w:rFonts w:ascii="Cambria" w:eastAsia="Cambria" w:hAnsi="Cambria" w:cs="Cambria"/>
          <w:sz w:val="24"/>
          <w:szCs w:val="24"/>
        </w:rPr>
      </w:pPr>
    </w:p>
    <w:p w14:paraId="7C6A0E8B" w14:textId="77777777" w:rsidR="00A7033C" w:rsidRDefault="00000000">
      <w:pPr>
        <w:spacing w:before="240" w:after="240"/>
        <w:jc w:val="both"/>
        <w:rPr>
          <w:rFonts w:ascii="Cambria" w:eastAsia="Cambria" w:hAnsi="Cambria" w:cs="Cambria"/>
          <w:sz w:val="24"/>
          <w:szCs w:val="24"/>
        </w:rPr>
      </w:pPr>
      <w:r>
        <w:rPr>
          <w:rFonts w:ascii="Cambria" w:eastAsia="Cambria" w:hAnsi="Cambria" w:cs="Cambria"/>
          <w:sz w:val="24"/>
          <w:szCs w:val="24"/>
        </w:rPr>
        <w:t>Estos escenarios, proyectados con niveles de ocupación del 50% y 60%, representan rangos máximos de venta estimados, considerando la programación tentativa y los componentes internacionales y nacionales previstos para el FIAV 2026, a la fecha de publicación de la invitación pública.</w:t>
      </w:r>
    </w:p>
    <w:p w14:paraId="0BBCEBD3" w14:textId="77777777" w:rsidR="00A7033C" w:rsidRDefault="00000000">
      <w:pPr>
        <w:spacing w:before="240" w:after="240"/>
        <w:jc w:val="both"/>
        <w:rPr>
          <w:rFonts w:ascii="Cambria" w:eastAsia="Cambria" w:hAnsi="Cambria" w:cs="Cambria"/>
          <w:sz w:val="24"/>
          <w:szCs w:val="24"/>
        </w:rPr>
      </w:pPr>
      <w:r>
        <w:rPr>
          <w:rFonts w:ascii="Cambria" w:eastAsia="Cambria" w:hAnsi="Cambria" w:cs="Cambria"/>
          <w:sz w:val="24"/>
          <w:szCs w:val="24"/>
        </w:rPr>
        <w:t xml:space="preserve">Una vez analizados los resultados de ambas proyecciones y atendiendo a criterios de prudencia financiera, el Comité decidió </w:t>
      </w:r>
      <w:r>
        <w:rPr>
          <w:rFonts w:ascii="Cambria" w:eastAsia="Cambria" w:hAnsi="Cambria" w:cs="Cambria"/>
          <w:b/>
          <w:sz w:val="24"/>
          <w:szCs w:val="24"/>
        </w:rPr>
        <w:t>mantener el presupuesto oficial de la invitación pública en los mismos términos del primer festival, equivalente a $2.400.000.000</w:t>
      </w:r>
      <w:r>
        <w:rPr>
          <w:rFonts w:ascii="Cambria" w:eastAsia="Cambria" w:hAnsi="Cambria" w:cs="Cambria"/>
          <w:sz w:val="24"/>
          <w:szCs w:val="24"/>
        </w:rPr>
        <w:t>, monto con el cual se procederá a la apertura del proceso de selección del Administrador de Boletería.</w:t>
      </w:r>
    </w:p>
    <w:p w14:paraId="69AFC4E8" w14:textId="77777777" w:rsidR="00A7033C" w:rsidRDefault="00000000">
      <w:pPr>
        <w:pStyle w:val="Ttulo2"/>
        <w:spacing w:before="200" w:after="0" w:line="276" w:lineRule="auto"/>
        <w:jc w:val="both"/>
        <w:rPr>
          <w:rFonts w:ascii="Cambria" w:eastAsia="Cambria" w:hAnsi="Cambria" w:cs="Cambria"/>
          <w:b/>
          <w:color w:val="000000"/>
          <w:sz w:val="24"/>
          <w:szCs w:val="24"/>
        </w:rPr>
      </w:pPr>
      <w:bookmarkStart w:id="4" w:name="_heading=h.wvr108wpxj3" w:colFirst="0" w:colLast="0"/>
      <w:bookmarkEnd w:id="4"/>
      <w:r>
        <w:rPr>
          <w:rFonts w:ascii="Cambria" w:eastAsia="Cambria" w:hAnsi="Cambria" w:cs="Cambria"/>
          <w:b/>
          <w:color w:val="000000"/>
          <w:sz w:val="24"/>
          <w:szCs w:val="24"/>
        </w:rPr>
        <w:t xml:space="preserve">6. Proyección de Ingresos por Boletería </w:t>
      </w:r>
    </w:p>
    <w:p w14:paraId="1721EE85" w14:textId="77777777" w:rsidR="00A7033C" w:rsidRDefault="00000000">
      <w:pPr>
        <w:spacing w:before="240" w:after="240"/>
        <w:jc w:val="both"/>
        <w:rPr>
          <w:rFonts w:ascii="Cambria" w:eastAsia="Cambria" w:hAnsi="Cambria" w:cs="Cambria"/>
          <w:sz w:val="24"/>
          <w:szCs w:val="24"/>
        </w:rPr>
      </w:pPr>
      <w:r>
        <w:rPr>
          <w:rFonts w:ascii="Cambria" w:eastAsia="Cambria" w:hAnsi="Cambria" w:cs="Cambria"/>
          <w:sz w:val="24"/>
          <w:szCs w:val="24"/>
        </w:rPr>
        <w:t xml:space="preserve">El anterior ejercicio del </w:t>
      </w:r>
      <w:r>
        <w:rPr>
          <w:rFonts w:ascii="Cambria" w:eastAsia="Cambria" w:hAnsi="Cambria" w:cs="Cambria"/>
          <w:b/>
          <w:sz w:val="24"/>
          <w:szCs w:val="24"/>
        </w:rPr>
        <w:t>modelo financiero de boletería</w:t>
      </w:r>
      <w:r>
        <w:rPr>
          <w:rFonts w:ascii="Cambria" w:eastAsia="Cambria" w:hAnsi="Cambria" w:cs="Cambria"/>
          <w:sz w:val="24"/>
          <w:szCs w:val="24"/>
        </w:rPr>
        <w:t xml:space="preserve"> tiene como propósito </w:t>
      </w:r>
      <w:r>
        <w:rPr>
          <w:rFonts w:ascii="Cambria" w:eastAsia="Cambria" w:hAnsi="Cambria" w:cs="Cambria"/>
          <w:b/>
          <w:sz w:val="24"/>
          <w:szCs w:val="24"/>
        </w:rPr>
        <w:t>determinar el presupuesto estimado para la invitación pública</w:t>
      </w:r>
      <w:r>
        <w:rPr>
          <w:rFonts w:ascii="Cambria" w:eastAsia="Cambria" w:hAnsi="Cambria" w:cs="Cambria"/>
          <w:sz w:val="24"/>
          <w:szCs w:val="24"/>
        </w:rPr>
        <w:t xml:space="preserve"> dirigida a la contratación del administrador de boletería del </w:t>
      </w:r>
      <w:r>
        <w:rPr>
          <w:rFonts w:ascii="Cambria" w:eastAsia="Cambria" w:hAnsi="Cambria" w:cs="Cambria"/>
          <w:b/>
          <w:sz w:val="24"/>
          <w:szCs w:val="24"/>
        </w:rPr>
        <w:t>Festival Internacional de Artes Vivas de Bogotá – FIAV 2026</w:t>
      </w:r>
      <w:r>
        <w:rPr>
          <w:rFonts w:ascii="Cambria" w:eastAsia="Cambria" w:hAnsi="Cambria" w:cs="Cambria"/>
          <w:sz w:val="24"/>
          <w:szCs w:val="24"/>
        </w:rPr>
        <w:t>.</w:t>
      </w:r>
    </w:p>
    <w:p w14:paraId="0BC82FEC" w14:textId="77777777" w:rsidR="00A7033C" w:rsidRDefault="00000000">
      <w:pPr>
        <w:spacing w:before="240" w:after="240"/>
        <w:jc w:val="both"/>
        <w:rPr>
          <w:rFonts w:ascii="Cambria" w:eastAsia="Cambria" w:hAnsi="Cambria" w:cs="Cambria"/>
          <w:sz w:val="24"/>
          <w:szCs w:val="24"/>
        </w:rPr>
      </w:pPr>
      <w:r>
        <w:rPr>
          <w:rFonts w:ascii="Cambria" w:eastAsia="Cambria" w:hAnsi="Cambria" w:cs="Cambria"/>
          <w:sz w:val="24"/>
          <w:szCs w:val="24"/>
        </w:rPr>
        <w:t xml:space="preserve">El modelo se desarrolló a partir de </w:t>
      </w:r>
      <w:proofErr w:type="gramStart"/>
      <w:r>
        <w:rPr>
          <w:rFonts w:ascii="Cambria" w:eastAsia="Cambria" w:hAnsi="Cambria" w:cs="Cambria"/>
          <w:sz w:val="24"/>
          <w:szCs w:val="24"/>
        </w:rPr>
        <w:t xml:space="preserve">los  </w:t>
      </w:r>
      <w:r>
        <w:rPr>
          <w:rFonts w:ascii="Cambria" w:eastAsia="Cambria" w:hAnsi="Cambria" w:cs="Cambria"/>
          <w:b/>
          <w:sz w:val="24"/>
          <w:szCs w:val="24"/>
        </w:rPr>
        <w:t>dos</w:t>
      </w:r>
      <w:proofErr w:type="gramEnd"/>
      <w:r>
        <w:rPr>
          <w:rFonts w:ascii="Cambria" w:eastAsia="Cambria" w:hAnsi="Cambria" w:cs="Cambria"/>
          <w:b/>
          <w:sz w:val="24"/>
          <w:szCs w:val="24"/>
        </w:rPr>
        <w:t xml:space="preserve"> escenarios técnicos de ocupación del 50% y del 60% </w:t>
      </w:r>
      <w:r>
        <w:rPr>
          <w:rFonts w:ascii="Cambria" w:eastAsia="Cambria" w:hAnsi="Cambria" w:cs="Cambria"/>
          <w:sz w:val="24"/>
          <w:szCs w:val="24"/>
        </w:rPr>
        <w:t xml:space="preserve">mencionados, con el fin de establecer un rango de referencia que </w:t>
      </w:r>
      <w:r>
        <w:rPr>
          <w:rFonts w:ascii="Cambria" w:eastAsia="Cambria" w:hAnsi="Cambria" w:cs="Cambria"/>
          <w:sz w:val="24"/>
          <w:szCs w:val="24"/>
        </w:rPr>
        <w:lastRenderedPageBreak/>
        <w:t>permita definir el valor estimado del contrato y garantizar la planeación presupuestal del proceso de selección.</w:t>
      </w:r>
    </w:p>
    <w:p w14:paraId="19E32EC7" w14:textId="77777777" w:rsidR="00A7033C" w:rsidRDefault="00000000">
      <w:pPr>
        <w:spacing w:before="240" w:after="240"/>
        <w:jc w:val="both"/>
        <w:rPr>
          <w:rFonts w:ascii="Cambria" w:eastAsia="Cambria" w:hAnsi="Cambria" w:cs="Cambria"/>
          <w:sz w:val="24"/>
          <w:szCs w:val="24"/>
        </w:rPr>
      </w:pPr>
      <w:r>
        <w:rPr>
          <w:rFonts w:ascii="Cambria" w:eastAsia="Cambria" w:hAnsi="Cambria" w:cs="Cambria"/>
          <w:sz w:val="24"/>
          <w:szCs w:val="24"/>
        </w:rPr>
        <w:t xml:space="preserve">De manera complementaria, y </w:t>
      </w:r>
      <w:r>
        <w:rPr>
          <w:rFonts w:ascii="Cambria" w:eastAsia="Cambria" w:hAnsi="Cambria" w:cs="Cambria"/>
          <w:b/>
          <w:sz w:val="24"/>
          <w:szCs w:val="24"/>
        </w:rPr>
        <w:t>para la proyección real de los ingresos esperados por boletería</w:t>
      </w:r>
      <w:r>
        <w:rPr>
          <w:rFonts w:ascii="Cambria" w:eastAsia="Cambria" w:hAnsi="Cambria" w:cs="Cambria"/>
          <w:sz w:val="24"/>
          <w:szCs w:val="24"/>
        </w:rPr>
        <w:t xml:space="preserve">, se tuvo en cuenta el comportamiento histórico del festival en su primera versión (2024), año en el cual se alcanzó una </w:t>
      </w:r>
      <w:r>
        <w:rPr>
          <w:rFonts w:ascii="Cambria" w:eastAsia="Cambria" w:hAnsi="Cambria" w:cs="Cambria"/>
          <w:b/>
          <w:sz w:val="24"/>
          <w:szCs w:val="24"/>
        </w:rPr>
        <w:t>ocupación promedio del 28%</w:t>
      </w:r>
      <w:r>
        <w:rPr>
          <w:rFonts w:ascii="Cambria" w:eastAsia="Cambria" w:hAnsi="Cambria" w:cs="Cambria"/>
          <w:sz w:val="24"/>
          <w:szCs w:val="24"/>
        </w:rPr>
        <w:t xml:space="preserve">. Con base en dicho comportamiento y en el fortalecimiento previsto de las estrategias de comunicación, comercialización y ampliación de públicos, se proyecta para 2026 un </w:t>
      </w:r>
      <w:r>
        <w:rPr>
          <w:rFonts w:ascii="Cambria" w:eastAsia="Cambria" w:hAnsi="Cambria" w:cs="Cambria"/>
          <w:b/>
          <w:sz w:val="24"/>
          <w:szCs w:val="24"/>
        </w:rPr>
        <w:t>incremento del 4%</w:t>
      </w:r>
      <w:r>
        <w:rPr>
          <w:rFonts w:ascii="Cambria" w:eastAsia="Cambria" w:hAnsi="Cambria" w:cs="Cambria"/>
          <w:sz w:val="24"/>
          <w:szCs w:val="24"/>
        </w:rPr>
        <w:t xml:space="preserve">, alcanzando una </w:t>
      </w:r>
      <w:r>
        <w:rPr>
          <w:rFonts w:ascii="Cambria" w:eastAsia="Cambria" w:hAnsi="Cambria" w:cs="Cambria"/>
          <w:b/>
          <w:sz w:val="24"/>
          <w:szCs w:val="24"/>
        </w:rPr>
        <w:t>ocupación estimada del 32%</w:t>
      </w:r>
      <w:r>
        <w:rPr>
          <w:rFonts w:ascii="Cambria" w:eastAsia="Cambria" w:hAnsi="Cambria" w:cs="Cambria"/>
          <w:sz w:val="24"/>
          <w:szCs w:val="24"/>
        </w:rPr>
        <w:t xml:space="preserve">, lo que representa un </w:t>
      </w:r>
      <w:r>
        <w:rPr>
          <w:rFonts w:ascii="Cambria" w:eastAsia="Cambria" w:hAnsi="Cambria" w:cs="Cambria"/>
          <w:b/>
          <w:sz w:val="24"/>
          <w:szCs w:val="24"/>
        </w:rPr>
        <w:t xml:space="preserve">ingreso total proyectado de boletería para el Festival </w:t>
      </w:r>
      <w:proofErr w:type="gramStart"/>
      <w:r>
        <w:rPr>
          <w:rFonts w:ascii="Cambria" w:eastAsia="Cambria" w:hAnsi="Cambria" w:cs="Cambria"/>
          <w:b/>
          <w:sz w:val="24"/>
          <w:szCs w:val="24"/>
        </w:rPr>
        <w:t>2026  después</w:t>
      </w:r>
      <w:proofErr w:type="gramEnd"/>
      <w:r>
        <w:rPr>
          <w:rFonts w:ascii="Cambria" w:eastAsia="Cambria" w:hAnsi="Cambria" w:cs="Cambria"/>
          <w:b/>
          <w:sz w:val="24"/>
          <w:szCs w:val="24"/>
        </w:rPr>
        <w:t xml:space="preserve"> de aplicar descuentos de $1.276.845.600</w:t>
      </w:r>
      <w:r>
        <w:rPr>
          <w:rFonts w:ascii="Cambria" w:eastAsia="Cambria" w:hAnsi="Cambria" w:cs="Cambria"/>
          <w:sz w:val="24"/>
          <w:szCs w:val="24"/>
        </w:rPr>
        <w:t>.</w:t>
      </w:r>
    </w:p>
    <w:p w14:paraId="3B864B0E" w14:textId="77777777" w:rsidR="00A7033C" w:rsidRDefault="00000000">
      <w:pPr>
        <w:jc w:val="both"/>
        <w:rPr>
          <w:rFonts w:ascii="Cambria" w:eastAsia="Cambria" w:hAnsi="Cambria" w:cs="Cambria"/>
          <w:sz w:val="24"/>
          <w:szCs w:val="24"/>
        </w:rPr>
      </w:pPr>
      <w:proofErr w:type="gramStart"/>
      <w:r>
        <w:rPr>
          <w:rFonts w:ascii="Cambria" w:eastAsia="Cambria" w:hAnsi="Cambria" w:cs="Cambria"/>
          <w:b/>
          <w:sz w:val="24"/>
          <w:szCs w:val="24"/>
        </w:rPr>
        <w:t>Comparativo ingresos</w:t>
      </w:r>
      <w:proofErr w:type="gramEnd"/>
      <w:r>
        <w:rPr>
          <w:rFonts w:ascii="Cambria" w:eastAsia="Cambria" w:hAnsi="Cambria" w:cs="Cambria"/>
          <w:b/>
          <w:sz w:val="24"/>
          <w:szCs w:val="24"/>
        </w:rPr>
        <w:t xml:space="preserve"> 2024 vs 2026</w:t>
      </w:r>
      <w:r>
        <w:rPr>
          <w:rFonts w:ascii="Cambria" w:eastAsia="Cambria" w:hAnsi="Cambria" w:cs="Cambria"/>
          <w:sz w:val="24"/>
          <w:szCs w:val="24"/>
        </w:rPr>
        <w:t xml:space="preserve"> </w:t>
      </w:r>
    </w:p>
    <w:tbl>
      <w:tblPr>
        <w:tblStyle w:val="a1"/>
        <w:tblW w:w="8640" w:type="dxa"/>
        <w:tblInd w:w="-115" w:type="dxa"/>
        <w:tblLayout w:type="fixed"/>
        <w:tblLook w:val="0400" w:firstRow="0" w:lastRow="0" w:firstColumn="0" w:lastColumn="0" w:noHBand="0" w:noVBand="1"/>
      </w:tblPr>
      <w:tblGrid>
        <w:gridCol w:w="2880"/>
        <w:gridCol w:w="2880"/>
        <w:gridCol w:w="2880"/>
      </w:tblGrid>
      <w:tr w:rsidR="00A7033C" w14:paraId="5642FCCE" w14:textId="77777777">
        <w:tc>
          <w:tcPr>
            <w:tcW w:w="2880" w:type="dxa"/>
          </w:tcPr>
          <w:p w14:paraId="29FA2BDC"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Concepto</w:t>
            </w:r>
          </w:p>
        </w:tc>
        <w:tc>
          <w:tcPr>
            <w:tcW w:w="2880" w:type="dxa"/>
          </w:tcPr>
          <w:p w14:paraId="7D714D3E"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2024</w:t>
            </w:r>
          </w:p>
        </w:tc>
        <w:tc>
          <w:tcPr>
            <w:tcW w:w="2880" w:type="dxa"/>
          </w:tcPr>
          <w:p w14:paraId="7EAD37CF"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Estimado 2026</w:t>
            </w:r>
          </w:p>
        </w:tc>
      </w:tr>
      <w:tr w:rsidR="00A7033C" w14:paraId="2FB50248" w14:textId="77777777">
        <w:tc>
          <w:tcPr>
            <w:tcW w:w="2880" w:type="dxa"/>
          </w:tcPr>
          <w:p w14:paraId="62E9475F"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Valor ventas</w:t>
            </w:r>
          </w:p>
        </w:tc>
        <w:tc>
          <w:tcPr>
            <w:tcW w:w="2880" w:type="dxa"/>
          </w:tcPr>
          <w:p w14:paraId="2A63EDDE"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$1.010.614.000</w:t>
            </w:r>
          </w:p>
        </w:tc>
        <w:tc>
          <w:tcPr>
            <w:tcW w:w="2880" w:type="dxa"/>
          </w:tcPr>
          <w:p w14:paraId="56A915C5"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$1.276.845.600</w:t>
            </w:r>
          </w:p>
        </w:tc>
      </w:tr>
    </w:tbl>
    <w:p w14:paraId="4E254438" w14:textId="77777777" w:rsidR="00A7033C" w:rsidRDefault="00000000">
      <w:pPr>
        <w:jc w:val="both"/>
        <w:rPr>
          <w:rFonts w:ascii="Cambria" w:eastAsia="Cambria" w:hAnsi="Cambria" w:cs="Cambria"/>
          <w:sz w:val="24"/>
          <w:szCs w:val="24"/>
        </w:rPr>
      </w:pPr>
      <w:r>
        <w:rPr>
          <w:rFonts w:ascii="Cambria" w:eastAsia="Cambria" w:hAnsi="Cambria" w:cs="Cambria"/>
          <w:sz w:val="24"/>
          <w:szCs w:val="24"/>
        </w:rPr>
        <w:t>La proyección de ingresos a diferencia de los escenarios propuestos del 50% y 60% de ocupación, corresponde a una meta del Festival y al estimado de venta en un rango mínimo, teniendo en cuenta las ventas realizadas en el FIAV 2024 y considerando que somos un evento único, pero nuevo, que llega una segunda versión.</w:t>
      </w:r>
    </w:p>
    <w:p w14:paraId="06B6FDCD" w14:textId="77777777" w:rsidR="00A7033C" w:rsidRDefault="00000000">
      <w:pPr>
        <w:jc w:val="both"/>
        <w:rPr>
          <w:rFonts w:ascii="Cambria" w:eastAsia="Cambria" w:hAnsi="Cambria" w:cs="Cambria"/>
          <w:b/>
          <w:color w:val="000000"/>
          <w:sz w:val="24"/>
          <w:szCs w:val="24"/>
        </w:rPr>
      </w:pPr>
      <w:r>
        <w:rPr>
          <w:rFonts w:ascii="Cambria" w:eastAsia="Cambria" w:hAnsi="Cambria" w:cs="Cambria"/>
          <w:b/>
          <w:color w:val="000000"/>
          <w:sz w:val="24"/>
          <w:szCs w:val="24"/>
        </w:rPr>
        <w:t>7. Impacto en el Ecosistema Cultural</w:t>
      </w:r>
    </w:p>
    <w:p w14:paraId="353352B4"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El FIAV no compite con la programación estable de las salas bogotanas; por el contrario, amplifica y complementa la oferta de la ciudad. Genera un efecto de arrastre positivo, incentivando que nuevos públicos descubran artistas y regresen a las salas locales tras el festival. Dinamiza el turismo cultural y refuerza la imagen de Bogotá como capital cultural de la región.</w:t>
      </w:r>
    </w:p>
    <w:p w14:paraId="0CF883D5" w14:textId="77777777" w:rsidR="00A7033C" w:rsidRDefault="00000000">
      <w:pPr>
        <w:spacing w:after="200" w:line="276" w:lineRule="auto"/>
        <w:jc w:val="both"/>
        <w:rPr>
          <w:rFonts w:ascii="Cambria" w:eastAsia="Cambria" w:hAnsi="Cambria" w:cs="Cambria"/>
          <w:sz w:val="24"/>
          <w:szCs w:val="24"/>
        </w:rPr>
      </w:pPr>
      <w:r>
        <w:rPr>
          <w:rFonts w:ascii="Cambria" w:eastAsia="Cambria" w:hAnsi="Cambria" w:cs="Cambria"/>
          <w:sz w:val="24"/>
          <w:szCs w:val="24"/>
        </w:rPr>
        <w:t>La experiencia de 2024 demostró que los asistentes al festival se convierten en públicos recurrentes, fortaleciendo la sostenibilidad de todo el ecosistema cultural. Por ello, se plantea promover alianzas con las salas para integrar programación oficial y desarrollar paquetes de boletería cruzados, de manera que el impacto económico y simbólico del FIAV sea compartido.</w:t>
      </w:r>
    </w:p>
    <w:p w14:paraId="34E63DF3" w14:textId="77777777" w:rsidR="00A7033C" w:rsidRDefault="00A7033C">
      <w:pPr>
        <w:spacing w:before="240" w:after="240"/>
        <w:jc w:val="both"/>
        <w:rPr>
          <w:rFonts w:ascii="Arial" w:eastAsia="Arial" w:hAnsi="Arial" w:cs="Arial"/>
        </w:rPr>
      </w:pPr>
    </w:p>
    <w:p w14:paraId="7FE35642" w14:textId="77777777" w:rsidR="00A7033C" w:rsidRDefault="00A7033C">
      <w:pPr>
        <w:jc w:val="both"/>
        <w:rPr>
          <w:rFonts w:ascii="Arial" w:eastAsia="Arial" w:hAnsi="Arial" w:cs="Arial"/>
        </w:rPr>
      </w:pPr>
    </w:p>
    <w:sectPr w:rsidR="00A7033C">
      <w:headerReference w:type="even" r:id="rId8"/>
      <w:headerReference w:type="default" r:id="rId9"/>
      <w:footerReference w:type="even" r:id="rId10"/>
      <w:footerReference w:type="default" r:id="rId11"/>
      <w:headerReference w:type="first" r:id="rId12"/>
      <w:footerReference w:type="first" r:id="rId13"/>
      <w:pgSz w:w="12240" w:h="15840"/>
      <w:pgMar w:top="1276"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C555E" w14:textId="77777777" w:rsidR="00922C6F" w:rsidRDefault="00922C6F" w:rsidP="00236687">
      <w:pPr>
        <w:spacing w:after="0" w:line="240" w:lineRule="auto"/>
      </w:pPr>
      <w:r>
        <w:separator/>
      </w:r>
    </w:p>
  </w:endnote>
  <w:endnote w:type="continuationSeparator" w:id="0">
    <w:p w14:paraId="5F1B687E" w14:textId="77777777" w:rsidR="00922C6F" w:rsidRDefault="00922C6F" w:rsidP="00236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1629" w14:textId="77777777" w:rsidR="00236687" w:rsidRDefault="002366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005C" w14:textId="363DF88F" w:rsidR="00236687" w:rsidRPr="00236687" w:rsidRDefault="00236687" w:rsidP="00236687">
    <w:pPr>
      <w:pStyle w:val="Piedepgina"/>
      <w:jc w:val="center"/>
    </w:pPr>
    <w:r w:rsidRPr="00236687">
      <w:rPr>
        <w:rFonts w:ascii="Segoe UI Symbol" w:hAnsi="Segoe UI Symbol" w:cs="Segoe UI Symbol"/>
        <w:lang w:val="es-ES"/>
      </w:rPr>
      <w:t>⚲</w:t>
    </w:r>
    <w:r w:rsidRPr="00236687">
      <w:rPr>
        <w:lang w:val="es-ES"/>
      </w:rPr>
      <w:t xml:space="preserve"> Carrera 9 #77-67 · Edificio Torre </w:t>
    </w:r>
    <w:proofErr w:type="spellStart"/>
    <w:r w:rsidRPr="00236687">
      <w:rPr>
        <w:lang w:val="es-ES"/>
      </w:rPr>
      <w:t>Unika</w:t>
    </w:r>
    <w:proofErr w:type="spellEnd"/>
    <w:r w:rsidRPr="00236687">
      <w:rPr>
        <w:lang w:val="es-ES"/>
      </w:rPr>
      <w:t>. · Oficina 203 </w:t>
    </w:r>
    <w:proofErr w:type="spellStart"/>
    <w:r w:rsidRPr="00236687">
      <w:rPr>
        <w:lang w:val="es-ES"/>
      </w:rPr>
      <w:t>Nit</w:t>
    </w:r>
    <w:proofErr w:type="spellEnd"/>
    <w:r w:rsidRPr="00236687">
      <w:rPr>
        <w:lang w:val="es-ES"/>
      </w:rPr>
      <w:t>: 901345524-7.</w:t>
    </w:r>
  </w:p>
  <w:p w14:paraId="61999878" w14:textId="027555AE" w:rsidR="00236687" w:rsidRPr="00236687" w:rsidRDefault="00236687" w:rsidP="00236687">
    <w:pPr>
      <w:pStyle w:val="Piedepgina"/>
      <w:jc w:val="center"/>
    </w:pPr>
  </w:p>
  <w:p w14:paraId="11040974" w14:textId="2122DA89" w:rsidR="00236687" w:rsidRDefault="00236687" w:rsidP="00236687">
    <w:pPr>
      <w:pStyle w:val="Piedepgina"/>
      <w:jc w:val="center"/>
    </w:pPr>
    <w:r w:rsidRPr="00236687">
      <w:drawing>
        <wp:inline distT="0" distB="0" distL="0" distR="0" wp14:anchorId="51267004" wp14:editId="6CC307DD">
          <wp:extent cx="5612130" cy="493395"/>
          <wp:effectExtent l="0" t="0" r="0" b="1905"/>
          <wp:docPr id="14287179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4933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AB28" w14:textId="77777777" w:rsidR="00236687" w:rsidRDefault="002366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1A582" w14:textId="77777777" w:rsidR="00922C6F" w:rsidRDefault="00922C6F" w:rsidP="00236687">
      <w:pPr>
        <w:spacing w:after="0" w:line="240" w:lineRule="auto"/>
      </w:pPr>
      <w:r>
        <w:separator/>
      </w:r>
    </w:p>
  </w:footnote>
  <w:footnote w:type="continuationSeparator" w:id="0">
    <w:p w14:paraId="3E9B4D9B" w14:textId="77777777" w:rsidR="00922C6F" w:rsidRDefault="00922C6F" w:rsidP="00236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0BF1" w14:textId="77777777" w:rsidR="00236687" w:rsidRDefault="002366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2F89" w14:textId="45BFC5EE" w:rsidR="00236687" w:rsidRDefault="00236687">
    <w:pPr>
      <w:pStyle w:val="Encabezado"/>
    </w:pPr>
    <w:r>
      <w:rPr>
        <w:noProof/>
      </w:rPr>
      <w:drawing>
        <wp:inline distT="0" distB="0" distL="0" distR="0" wp14:anchorId="3AD0A264" wp14:editId="13EB5244">
          <wp:extent cx="1584960" cy="358140"/>
          <wp:effectExtent l="0" t="0" r="0" b="0"/>
          <wp:docPr id="1981681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3581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0BD2" w14:textId="77777777" w:rsidR="00236687" w:rsidRDefault="002366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92FEA"/>
    <w:multiLevelType w:val="multilevel"/>
    <w:tmpl w:val="9B78D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95D60C6"/>
    <w:multiLevelType w:val="multilevel"/>
    <w:tmpl w:val="32EE5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33C1897"/>
    <w:multiLevelType w:val="multilevel"/>
    <w:tmpl w:val="26B09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4183834">
    <w:abstractNumId w:val="1"/>
  </w:num>
  <w:num w:numId="2" w16cid:durableId="663514786">
    <w:abstractNumId w:val="2"/>
  </w:num>
  <w:num w:numId="3" w16cid:durableId="246157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33C"/>
    <w:rsid w:val="00236687"/>
    <w:rsid w:val="003F6060"/>
    <w:rsid w:val="00922C6F"/>
    <w:rsid w:val="00A703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54D488A"/>
  <w15:docId w15:val="{09FD15FA-BF97-434D-A7BD-B537FC35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color w:val="2F5496"/>
      <w:sz w:val="40"/>
      <w:szCs w:val="40"/>
    </w:rPr>
  </w:style>
  <w:style w:type="paragraph" w:styleId="Ttulo2">
    <w:name w:val="heading 2"/>
    <w:basedOn w:val="Normal"/>
    <w:next w:val="Normal"/>
    <w:uiPriority w:val="9"/>
    <w:unhideWhenUsed/>
    <w:qFormat/>
    <w:pPr>
      <w:keepNext/>
      <w:keepLines/>
      <w:spacing w:before="160" w:after="80"/>
      <w:outlineLvl w:val="1"/>
    </w:pPr>
    <w:rPr>
      <w:color w:val="2F5496"/>
      <w:sz w:val="32"/>
      <w:szCs w:val="32"/>
    </w:rPr>
  </w:style>
  <w:style w:type="paragraph" w:styleId="Ttulo3">
    <w:name w:val="heading 3"/>
    <w:basedOn w:val="Normal"/>
    <w:next w:val="Normal"/>
    <w:uiPriority w:val="9"/>
    <w:unhideWhenUsed/>
    <w:qFormat/>
    <w:pPr>
      <w:keepNext/>
      <w:keepLines/>
      <w:spacing w:before="160" w:after="80"/>
      <w:outlineLvl w:val="2"/>
    </w:pPr>
    <w:rPr>
      <w:color w:val="2F5496"/>
      <w:sz w:val="28"/>
      <w:szCs w:val="28"/>
    </w:rPr>
  </w:style>
  <w:style w:type="paragraph" w:styleId="Ttulo4">
    <w:name w:val="heading 4"/>
    <w:basedOn w:val="Normal"/>
    <w:next w:val="Normal"/>
    <w:uiPriority w:val="9"/>
    <w:unhideWhenUsed/>
    <w:qFormat/>
    <w:pPr>
      <w:keepNext/>
      <w:keepLines/>
      <w:spacing w:before="80" w:after="40"/>
      <w:outlineLvl w:val="3"/>
    </w:pPr>
    <w:rPr>
      <w:i/>
      <w:color w:val="2F5496"/>
    </w:rPr>
  </w:style>
  <w:style w:type="paragraph" w:styleId="Ttulo5">
    <w:name w:val="heading 5"/>
    <w:basedOn w:val="Normal"/>
    <w:next w:val="Normal"/>
    <w:uiPriority w:val="9"/>
    <w:semiHidden/>
    <w:unhideWhenUsed/>
    <w:qFormat/>
    <w:pPr>
      <w:keepNext/>
      <w:keepLines/>
      <w:spacing w:before="80" w:after="40"/>
      <w:outlineLvl w:val="4"/>
    </w:pPr>
    <w:rPr>
      <w:color w:val="2F5496"/>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DB3B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3B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3B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sz w:val="56"/>
      <w:szCs w:val="56"/>
    </w:rPr>
  </w:style>
  <w:style w:type="character" w:customStyle="1" w:styleId="Ttulo1Car">
    <w:name w:val="Título 1 Car"/>
    <w:basedOn w:val="Fuentedeprrafopredeter"/>
    <w:uiPriority w:val="9"/>
    <w:rsid w:val="00DB3B3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uiPriority w:val="9"/>
    <w:semiHidden/>
    <w:rsid w:val="00DB3B3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uiPriority w:val="9"/>
    <w:semiHidden/>
    <w:rsid w:val="00DB3B36"/>
    <w:rPr>
      <w:rFonts w:eastAsiaTheme="majorEastAsia" w:cstheme="majorBidi"/>
      <w:color w:val="2F5496" w:themeColor="accent1" w:themeShade="BF"/>
      <w:sz w:val="28"/>
      <w:szCs w:val="28"/>
    </w:rPr>
  </w:style>
  <w:style w:type="character" w:customStyle="1" w:styleId="Ttulo4Car">
    <w:name w:val="Título 4 Car"/>
    <w:basedOn w:val="Fuentedeprrafopredeter"/>
    <w:uiPriority w:val="9"/>
    <w:semiHidden/>
    <w:rsid w:val="00DB3B36"/>
    <w:rPr>
      <w:rFonts w:eastAsiaTheme="majorEastAsia" w:cstheme="majorBidi"/>
      <w:i/>
      <w:iCs/>
      <w:color w:val="2F5496" w:themeColor="accent1" w:themeShade="BF"/>
    </w:rPr>
  </w:style>
  <w:style w:type="character" w:customStyle="1" w:styleId="Ttulo5Car">
    <w:name w:val="Título 5 Car"/>
    <w:basedOn w:val="Fuentedeprrafopredeter"/>
    <w:uiPriority w:val="9"/>
    <w:semiHidden/>
    <w:rsid w:val="00DB3B36"/>
    <w:rPr>
      <w:rFonts w:eastAsiaTheme="majorEastAsia" w:cstheme="majorBidi"/>
      <w:color w:val="2F5496" w:themeColor="accent1" w:themeShade="BF"/>
    </w:rPr>
  </w:style>
  <w:style w:type="character" w:customStyle="1" w:styleId="Ttulo6Car">
    <w:name w:val="Título 6 Car"/>
    <w:basedOn w:val="Fuentedeprrafopredeter"/>
    <w:uiPriority w:val="9"/>
    <w:semiHidden/>
    <w:rsid w:val="00DB3B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3B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3B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3B36"/>
    <w:rPr>
      <w:rFonts w:eastAsiaTheme="majorEastAsia" w:cstheme="majorBidi"/>
      <w:color w:val="272727" w:themeColor="text1" w:themeTint="D8"/>
    </w:rPr>
  </w:style>
  <w:style w:type="character" w:customStyle="1" w:styleId="TtuloCar">
    <w:name w:val="Título Car"/>
    <w:basedOn w:val="Fuentedeprrafopredeter"/>
    <w:uiPriority w:val="10"/>
    <w:rsid w:val="00DB3B36"/>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DB3B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3B36"/>
    <w:pPr>
      <w:spacing w:before="160"/>
      <w:jc w:val="center"/>
    </w:pPr>
    <w:rPr>
      <w:i/>
      <w:iCs/>
      <w:color w:val="404040" w:themeColor="text1" w:themeTint="BF"/>
    </w:rPr>
  </w:style>
  <w:style w:type="character" w:customStyle="1" w:styleId="CitaCar">
    <w:name w:val="Cita Car"/>
    <w:basedOn w:val="Fuentedeprrafopredeter"/>
    <w:link w:val="Cita"/>
    <w:uiPriority w:val="29"/>
    <w:rsid w:val="00DB3B36"/>
    <w:rPr>
      <w:i/>
      <w:iCs/>
      <w:color w:val="404040" w:themeColor="text1" w:themeTint="BF"/>
    </w:rPr>
  </w:style>
  <w:style w:type="paragraph" w:styleId="Prrafodelista">
    <w:name w:val="List Paragraph"/>
    <w:basedOn w:val="Normal"/>
    <w:uiPriority w:val="34"/>
    <w:qFormat/>
    <w:rsid w:val="00DB3B36"/>
    <w:pPr>
      <w:ind w:left="720"/>
      <w:contextualSpacing/>
    </w:pPr>
  </w:style>
  <w:style w:type="character" w:styleId="nfasisintenso">
    <w:name w:val="Intense Emphasis"/>
    <w:basedOn w:val="Fuentedeprrafopredeter"/>
    <w:uiPriority w:val="21"/>
    <w:qFormat/>
    <w:rsid w:val="00DB3B36"/>
    <w:rPr>
      <w:i/>
      <w:iCs/>
      <w:color w:val="2F5496" w:themeColor="accent1" w:themeShade="BF"/>
    </w:rPr>
  </w:style>
  <w:style w:type="paragraph" w:styleId="Citadestacada">
    <w:name w:val="Intense Quote"/>
    <w:basedOn w:val="Normal"/>
    <w:next w:val="Normal"/>
    <w:link w:val="CitadestacadaCar"/>
    <w:uiPriority w:val="30"/>
    <w:qFormat/>
    <w:rsid w:val="00DB3B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B3B36"/>
    <w:rPr>
      <w:i/>
      <w:iCs/>
      <w:color w:val="2F5496" w:themeColor="accent1" w:themeShade="BF"/>
    </w:rPr>
  </w:style>
  <w:style w:type="character" w:styleId="Referenciaintensa">
    <w:name w:val="Intense Reference"/>
    <w:basedOn w:val="Fuentedeprrafopredeter"/>
    <w:uiPriority w:val="32"/>
    <w:qFormat/>
    <w:rsid w:val="00DB3B36"/>
    <w:rPr>
      <w:b/>
      <w:bCs/>
      <w:smallCaps/>
      <w:color w:val="2F5496" w:themeColor="accent1" w:themeShade="BF"/>
      <w:spacing w:val="5"/>
    </w:rPr>
  </w:style>
  <w:style w:type="table" w:styleId="Tablaconcuadrcula">
    <w:name w:val="Table Grid"/>
    <w:basedOn w:val="Tablanormal"/>
    <w:uiPriority w:val="39"/>
    <w:rsid w:val="00527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rPr>
      <w:color w:val="595959"/>
      <w:sz w:val="28"/>
      <w:szCs w:val="2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0" w:type="dxa"/>
        <w:left w:w="115" w:type="dxa"/>
        <w:bottom w:w="0" w:type="dxa"/>
        <w:right w:w="115" w:type="dxa"/>
      </w:tblCellMar>
    </w:tblPr>
  </w:style>
  <w:style w:type="paragraph" w:styleId="Encabezado">
    <w:name w:val="header"/>
    <w:basedOn w:val="Normal"/>
    <w:link w:val="EncabezadoCar"/>
    <w:uiPriority w:val="99"/>
    <w:unhideWhenUsed/>
    <w:rsid w:val="002366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6687"/>
  </w:style>
  <w:style w:type="paragraph" w:styleId="Piedepgina">
    <w:name w:val="footer"/>
    <w:basedOn w:val="Normal"/>
    <w:link w:val="PiedepginaCar"/>
    <w:uiPriority w:val="99"/>
    <w:unhideWhenUsed/>
    <w:rsid w:val="002366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6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oNrydIm74bbp+rh8ubFqSdjnw==">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1509</Words>
  <Characters>8303</Characters>
  <Application>Microsoft Office Word</Application>
  <DocSecurity>0</DocSecurity>
  <Lines>69</Lines>
  <Paragraphs>19</Paragraphs>
  <ScaleCrop>false</ScaleCrop>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Cuervo</dc:creator>
  <cp:lastModifiedBy>Carolina Salamanca</cp:lastModifiedBy>
  <cp:revision>2</cp:revision>
  <dcterms:created xsi:type="dcterms:W3CDTF">2025-10-02T19:41:00Z</dcterms:created>
  <dcterms:modified xsi:type="dcterms:W3CDTF">2025-10-30T18:08:00Z</dcterms:modified>
</cp:coreProperties>
</file>